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2.0 -->
  <w:body>
    <w:p>
      <w:pPr>
        <w:pStyle w:val="Title"/>
        <w:spacing w:line="264" w:lineRule="auto"/>
      </w:pPr>
      <w:r>
        <mc:AlternateContent>
          <mc:Choice Requires="wps">
            <w:drawing>
              <wp:anchor distT="0" distB="0" distL="0" distR="0" simplePos="0" relativeHeight="251668480" behindDoc="0" locked="0" layoutInCell="1" allowOverlap="1">
                <wp:simplePos x="0" y="0"/>
                <wp:positionH relativeFrom="page">
                  <wp:posOffset>1651000</wp:posOffset>
                </wp:positionH>
                <wp:positionV relativeFrom="page">
                  <wp:posOffset>6372225</wp:posOffset>
                </wp:positionV>
                <wp:extent cx="158750" cy="158750"/>
                <wp:effectExtent l="0" t="0" r="0" b="0"/>
                <wp:wrapNone/>
                <wp:docPr id="1" name="Graphic 1"/>
                <wp:cNvGraphicFramePr/>
                <a:graphic xmlns:a="http://schemas.openxmlformats.org/drawingml/2006/main">
                  <a:graphicData uri="http://schemas.microsoft.com/office/word/2010/wordprocessingShape">
                    <wps:wsp xmlns:wps="http://schemas.microsoft.com/office/word/2010/wordprocessingShape">
                      <wps:cNvSpPr/>
                      <wps:spPr>
                        <a:xfrm>
                          <a:off x="0" y="0"/>
                          <a:ext cx="158750" cy="158750"/>
                        </a:xfrm>
                        <a:custGeom>
                          <a:avLst/>
                          <a:gdLst/>
                          <a:rect l="l" t="t" r="r" b="b"/>
                          <a:pathLst>
                            <a:path fill="norm" h="158750" w="158750" stroke="1">
                              <a:moveTo>
                                <a:pt x="158750" y="158750"/>
                              </a:moveTo>
                              <a:lnTo>
                                <a:pt x="0" y="158750"/>
                              </a:lnTo>
                              <a:lnTo>
                                <a:pt x="0" y="0"/>
                              </a:lnTo>
                              <a:lnTo>
                                <a:pt x="158750" y="0"/>
                              </a:lnTo>
                              <a:lnTo>
                                <a:pt x="158750" y="158750"/>
                              </a:lnTo>
                              <a:close/>
                            </a:path>
                          </a:pathLst>
                        </a:custGeom>
                        <a:solidFill>
                          <a:srgbClr val="FFFFFF"/>
                        </a:solidFill>
                      </wps:spPr>
                      <wps:bodyPr wrap="square" lIns="0" tIns="0" rIns="0" bIns="0" rtlCol="0">
                        <a:prstTxWarp prst="textNoShape">
                          <a:avLst/>
                        </a:prstTxWarp>
                      </wps:bodyPr>
                    </wps:wsp>
                  </a:graphicData>
                </a:graphic>
              </wp:anchor>
            </w:drawing>
          </mc:Choice>
          <mc:Fallback>
            <w:pict>
              <v:rect id="_x0000_s1025" style="width:12.5pt;height:12.5pt;margin-top:501.75pt;margin-left:130pt;mso-position-horizontal-relative:page;mso-position-vertical-relative:page;position:absolute;z-index:251669504" filled="t" fillcolor="white" stroked="f">
                <v:fill type="solid"/>
              </v:rect>
            </w:pict>
          </mc:Fallback>
        </mc:AlternateContent>
      </w:r>
      <w:r>
        <mc:AlternateContent>
          <mc:Choice Requires="wps">
            <w:drawing>
              <wp:anchor distT="0" distB="0" distL="0" distR="0" simplePos="0" relativeHeight="251670528" behindDoc="0" locked="0" layoutInCell="1" allowOverlap="1">
                <wp:simplePos x="0" y="0"/>
                <wp:positionH relativeFrom="page">
                  <wp:posOffset>4445000</wp:posOffset>
                </wp:positionH>
                <wp:positionV relativeFrom="page">
                  <wp:posOffset>6372225</wp:posOffset>
                </wp:positionV>
                <wp:extent cx="152400" cy="165100"/>
                <wp:effectExtent l="0" t="0" r="0" b="0"/>
                <wp:wrapNone/>
                <wp:docPr id="2" name="Graphic 2"/>
                <wp:cNvGraphicFramePr/>
                <a:graphic xmlns:a="http://schemas.openxmlformats.org/drawingml/2006/main">
                  <a:graphicData uri="http://schemas.microsoft.com/office/word/2010/wordprocessingShape">
                    <wps:wsp xmlns:wps="http://schemas.microsoft.com/office/word/2010/wordprocessingShape">
                      <wps:cNvSpPr/>
                      <wps:spPr>
                        <a:xfrm>
                          <a:off x="0" y="0"/>
                          <a:ext cx="152400" cy="165100"/>
                        </a:xfrm>
                        <a:custGeom>
                          <a:avLst/>
                          <a:gdLst/>
                          <a:rect l="l" t="t" r="r" b="b"/>
                          <a:pathLst>
                            <a:path fill="norm" h="165100" w="152400" stroke="1">
                              <a:moveTo>
                                <a:pt x="152400" y="165100"/>
                              </a:moveTo>
                              <a:lnTo>
                                <a:pt x="0" y="165100"/>
                              </a:lnTo>
                              <a:lnTo>
                                <a:pt x="0" y="0"/>
                              </a:lnTo>
                              <a:lnTo>
                                <a:pt x="152400" y="0"/>
                              </a:lnTo>
                              <a:lnTo>
                                <a:pt x="152400" y="165100"/>
                              </a:lnTo>
                              <a:close/>
                            </a:path>
                          </a:pathLst>
                        </a:custGeom>
                        <a:solidFill>
                          <a:srgbClr val="FFFFFF"/>
                        </a:solidFill>
                      </wps:spPr>
                      <wps:bodyPr wrap="square" lIns="0" tIns="0" rIns="0" bIns="0" rtlCol="0">
                        <a:prstTxWarp prst="textNoShape">
                          <a:avLst/>
                        </a:prstTxWarp>
                      </wps:bodyPr>
                    </wps:wsp>
                  </a:graphicData>
                </a:graphic>
              </wp:anchor>
            </w:drawing>
          </mc:Choice>
          <mc:Fallback>
            <w:pict>
              <v:rect id="_x0000_s1026" style="width:12pt;height:13pt;margin-top:501.75pt;margin-left:350pt;mso-position-horizontal-relative:page;mso-position-vertical-relative:page;position:absolute;z-index:251671552" filled="t" fillcolor="white" stroked="f">
                <v:fill type="solid"/>
              </v:rect>
            </w:pict>
          </mc:Fallback>
        </mc:AlternateContent>
      </w:r>
      <w:r>
        <mc:AlternateContent>
          <mc:Choice Requires="wps">
            <w:drawing>
              <wp:anchor distT="0" distB="0" distL="0" distR="0" simplePos="0" relativeHeight="251672576" behindDoc="0" locked="0" layoutInCell="1" allowOverlap="1">
                <wp:simplePos x="0" y="0"/>
                <wp:positionH relativeFrom="page">
                  <wp:posOffset>1828800</wp:posOffset>
                </wp:positionH>
                <wp:positionV relativeFrom="page">
                  <wp:posOffset>5178425</wp:posOffset>
                </wp:positionV>
                <wp:extent cx="158750" cy="158750"/>
                <wp:effectExtent l="0" t="0" r="0" b="0"/>
                <wp:wrapNone/>
                <wp:docPr id="3" name="Graphic 3"/>
                <wp:cNvGraphicFramePr/>
                <a:graphic xmlns:a="http://schemas.openxmlformats.org/drawingml/2006/main">
                  <a:graphicData uri="http://schemas.microsoft.com/office/word/2010/wordprocessingShape">
                    <wps:wsp xmlns:wps="http://schemas.microsoft.com/office/word/2010/wordprocessingShape">
                      <wps:cNvSpPr/>
                      <wps:spPr>
                        <a:xfrm>
                          <a:off x="0" y="0"/>
                          <a:ext cx="158750" cy="158750"/>
                        </a:xfrm>
                        <a:custGeom>
                          <a:avLst/>
                          <a:gdLst/>
                          <a:rect l="l" t="t" r="r" b="b"/>
                          <a:pathLst>
                            <a:path fill="norm" h="158750" w="158750" stroke="1">
                              <a:moveTo>
                                <a:pt x="158750" y="158750"/>
                              </a:moveTo>
                              <a:lnTo>
                                <a:pt x="0" y="158750"/>
                              </a:lnTo>
                              <a:lnTo>
                                <a:pt x="0" y="0"/>
                              </a:lnTo>
                              <a:lnTo>
                                <a:pt x="158750" y="0"/>
                              </a:lnTo>
                              <a:lnTo>
                                <a:pt x="158750" y="158750"/>
                              </a:lnTo>
                              <a:close/>
                            </a:path>
                          </a:pathLst>
                        </a:custGeom>
                        <a:solidFill>
                          <a:srgbClr val="FFFFFF"/>
                        </a:solidFill>
                      </wps:spPr>
                      <wps:bodyPr wrap="square" lIns="0" tIns="0" rIns="0" bIns="0" rtlCol="0">
                        <a:prstTxWarp prst="textNoShape">
                          <a:avLst/>
                        </a:prstTxWarp>
                      </wps:bodyPr>
                    </wps:wsp>
                  </a:graphicData>
                </a:graphic>
              </wp:anchor>
            </w:drawing>
          </mc:Choice>
          <mc:Fallback>
            <w:pict>
              <v:rect id="_x0000_s1027" style="width:12.5pt;height:12.5pt;margin-top:407.75pt;margin-left:2in;mso-position-horizontal-relative:page;mso-position-vertical-relative:page;position:absolute;z-index:251673600" filled="t" fillcolor="white" stroked="f">
                <v:fill type="solid"/>
              </v:rect>
            </w:pict>
          </mc:Fallback>
        </mc:AlternateContent>
      </w:r>
      <w:r>
        <mc:AlternateContent>
          <mc:Choice Requires="wps">
            <w:drawing>
              <wp:anchor distT="0" distB="0" distL="0" distR="0" simplePos="0" relativeHeight="251674624" behindDoc="0" locked="0" layoutInCell="1" allowOverlap="1">
                <wp:simplePos x="0" y="0"/>
                <wp:positionH relativeFrom="page">
                  <wp:posOffset>1828800</wp:posOffset>
                </wp:positionH>
                <wp:positionV relativeFrom="page">
                  <wp:posOffset>4479925</wp:posOffset>
                </wp:positionV>
                <wp:extent cx="158750" cy="158750"/>
                <wp:effectExtent l="0" t="0" r="0" b="0"/>
                <wp:wrapNone/>
                <wp:docPr id="4" name="Graphic 4"/>
                <wp:cNvGraphicFramePr/>
                <a:graphic xmlns:a="http://schemas.openxmlformats.org/drawingml/2006/main">
                  <a:graphicData uri="http://schemas.microsoft.com/office/word/2010/wordprocessingShape">
                    <wps:wsp xmlns:wps="http://schemas.microsoft.com/office/word/2010/wordprocessingShape">
                      <wps:cNvSpPr/>
                      <wps:spPr>
                        <a:xfrm>
                          <a:off x="0" y="0"/>
                          <a:ext cx="158750" cy="158750"/>
                        </a:xfrm>
                        <a:custGeom>
                          <a:avLst/>
                          <a:gdLst/>
                          <a:rect l="l" t="t" r="r" b="b"/>
                          <a:pathLst>
                            <a:path fill="norm" h="158750" w="158750" stroke="1">
                              <a:moveTo>
                                <a:pt x="158750" y="158750"/>
                              </a:moveTo>
                              <a:lnTo>
                                <a:pt x="0" y="158750"/>
                              </a:lnTo>
                              <a:lnTo>
                                <a:pt x="0" y="0"/>
                              </a:lnTo>
                              <a:lnTo>
                                <a:pt x="158750" y="0"/>
                              </a:lnTo>
                              <a:lnTo>
                                <a:pt x="158750" y="158750"/>
                              </a:lnTo>
                              <a:close/>
                            </a:path>
                          </a:pathLst>
                        </a:custGeom>
                        <a:solidFill>
                          <a:srgbClr val="FFFFFF"/>
                        </a:solidFill>
                      </wps:spPr>
                      <wps:bodyPr wrap="square" lIns="0" tIns="0" rIns="0" bIns="0" rtlCol="0">
                        <a:prstTxWarp prst="textNoShape">
                          <a:avLst/>
                        </a:prstTxWarp>
                      </wps:bodyPr>
                    </wps:wsp>
                  </a:graphicData>
                </a:graphic>
              </wp:anchor>
            </w:drawing>
          </mc:Choice>
          <mc:Fallback>
            <w:pict>
              <v:rect id="_x0000_s1028" style="width:12.5pt;height:12.5pt;margin-top:352.75pt;margin-left:2in;mso-position-horizontal-relative:page;mso-position-vertical-relative:page;position:absolute;z-index:251675648" filled="t" fillcolor="white" stroked="f">
                <v:fill type="solid"/>
              </v:rect>
            </w:pict>
          </mc:Fallback>
        </mc:AlternateContent>
      </w:r>
      <w:r>
        <w:rPr>
          <w:sz w:val="24"/>
        </w:rPr>
        <w:t>Informativa precontrattuale relativa ai prodotti finanziari di cui all’articolo 8, paragrafi 1, 2 e 2-bis, del regolamento (UE) 2019/2088 e all’articolo 6, primo comma, del regolamento (UE) 2020/852</w:t>
      </w:r>
    </w:p>
    <w:p>
      <w:pPr>
        <w:tabs>
          <w:tab w:val="left" w:pos="4785"/>
        </w:tabs>
        <w:spacing w:before="220"/>
        <w:ind w:left="2135" w:right="0" w:firstLine="0"/>
        <w:jc w:val="left"/>
        <w:rPr>
          <w:sz w:val="20"/>
        </w:rPr>
      </w:pPr>
      <w:r>
        <w:rPr>
          <w:sz w:val="20"/>
        </w:rPr>
        <mc:AlternateContent>
          <mc:Choice Requires="wps">
            <w:drawing>
              <wp:anchor distT="0" distB="0" distL="0" distR="0" simplePos="0" relativeHeight="251658240" behindDoc="0" locked="0" layoutInCell="1" allowOverlap="1">
                <wp:simplePos x="0" y="0"/>
                <wp:positionH relativeFrom="page">
                  <wp:posOffset>355600</wp:posOffset>
                </wp:positionH>
                <wp:positionV relativeFrom="paragraph">
                  <wp:posOffset>144388</wp:posOffset>
                </wp:positionV>
                <wp:extent cx="1168400" cy="2349500"/>
                <wp:effectExtent l="0" t="0" r="0" b="0"/>
                <wp:wrapNone/>
                <wp:docPr id="5" name="Textbox 5"/>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2349500"/>
                        </a:xfrm>
                        <a:prstGeom prst="rect">
                          <a:avLst/>
                        </a:prstGeom>
                        <a:solidFill>
                          <a:srgbClr val="EFEFEF"/>
                        </a:solidFill>
                      </wps:spPr>
                      <wps:txbx>
                        <w:txbxContent>
                          <w:p>
                            <w:pPr>
                              <w:spacing w:before="0" w:line="264" w:lineRule="auto"/>
                              <w:ind w:left="0" w:right="139" w:firstLine="0"/>
                              <w:jc w:val="left"/>
                              <w:rPr>
                                <w:sz w:val="16"/>
                              </w:rPr>
                            </w:pPr>
                            <w:r>
                              <w:rPr>
                                <w:sz w:val="15"/>
                              </w:rPr>
                              <w:t>Per</w:t>
                            </w:r>
                            <w:r>
                              <w:rPr>
                                <w:b/>
                                <w:spacing w:val="-2"/>
                                <w:sz w:val="15"/>
                              </w:rPr>
                              <w:t xml:space="preserve"> investimento sostenibile </w:t>
                            </w:r>
                            <w:r>
                              <w:rPr>
                                <w:sz w:val="15"/>
                              </w:rPr>
                              <w:t>si intende un investimento in un’attività economica che contribuisca a</w:t>
                            </w:r>
                          </w:p>
                          <w:p>
                            <w:pPr>
                              <w:spacing w:before="0" w:line="264" w:lineRule="auto"/>
                              <w:ind w:left="0" w:right="139" w:firstLine="0"/>
                              <w:jc w:val="left"/>
                              <w:rPr>
                                <w:sz w:val="16"/>
                              </w:rPr>
                            </w:pPr>
                            <w:r>
                              <w:rPr>
                                <w:sz w:val="15"/>
                              </w:rPr>
                              <w:t>un obiettivo ambientale o sociale, a condizione che l’investimento non danneggi in modo significativo alcun obiettivo ambientale o sociale e che le società in cui si investe seguano buone pratiche di governance.</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1029" type="#_x0000_t202" style="width:92pt;height:185pt;margin-top:11.37pt;margin-left:28pt;mso-position-horizontal-relative:page;position:absolute;z-index:251659264" filled="t" fillcolor="#efefef" stroked="f">
                <v:fill type="solid"/>
                <v:textbox inset="0,0,0,0">
                  <w:txbxContent>
                    <w:p>
                      <w:pPr>
                        <w:spacing w:before="0" w:line="264" w:lineRule="auto"/>
                        <w:ind w:left="0" w:right="139" w:firstLine="0"/>
                        <w:jc w:val="left"/>
                        <w:rPr>
                          <w:sz w:val="16"/>
                        </w:rPr>
                      </w:pPr>
                      <w:r>
                        <w:rPr>
                          <w:sz w:val="16"/>
                        </w:rPr>
                        <w:t>Per</w:t>
                      </w:r>
                      <w:r>
                        <w:rPr>
                          <w:b/>
                          <w:spacing w:val="-2"/>
                          <w:sz w:val="16"/>
                        </w:rPr>
                        <w:t xml:space="preserve"> investimento sostenibile </w:t>
                      </w:r>
                      <w:r>
                        <w:rPr>
                          <w:sz w:val="16"/>
                        </w:rPr>
                        <w:t>si intende un investimento in un’attività economica che contribuisca a</w:t>
                      </w:r>
                    </w:p>
                    <w:p>
                      <w:pPr>
                        <w:spacing w:before="0" w:line="264" w:lineRule="auto"/>
                        <w:ind w:left="0" w:right="139" w:firstLine="0"/>
                        <w:jc w:val="left"/>
                        <w:rPr>
                          <w:sz w:val="16"/>
                        </w:rPr>
                      </w:pPr>
                      <w:r>
                        <w:rPr>
                          <w:sz w:val="16"/>
                        </w:rPr>
                        <w:t>un obiettivo ambientale o sociale, a condizione che l’investimento non danneggi in modo significativo alcun obiettivo ambientale o sociale e che le società oggetto di investimento seguano buone pratiche di governance.</w:t>
                      </w:r>
                    </w:p>
                  </w:txbxContent>
                </v:textbox>
              </v:shape>
            </w:pict>
          </mc:Fallback>
        </mc:AlternateContent>
      </w:r>
      <w:r>
        <w:rPr>
          <w:b/>
          <w:sz w:val="18"/>
        </w:rPr>
        <w:t>Denominazione del prodotto:</w:t>
      </w:r>
      <w:r>
        <w:rPr>
          <w:b/>
          <w:sz w:val="18"/>
        </w:rPr>
        <w:tab/>
      </w:r>
      <w:r>
        <w:rPr>
          <w:sz w:val="18"/>
        </w:rPr>
        <w:t>Xtrackers S&amp;P 500 Equal Weight Scored &amp; Screened UCITS ETF</w:t>
      </w:r>
    </w:p>
    <w:p>
      <w:pPr>
        <w:spacing w:before="171"/>
        <w:ind w:left="2135" w:right="0" w:firstLine="0"/>
        <w:jc w:val="left"/>
        <w:rPr>
          <w:sz w:val="20"/>
        </w:rPr>
      </w:pPr>
      <w:r>
        <w:rPr>
          <w:b/>
          <w:sz w:val="18"/>
        </w:rPr>
        <w:t>Identificativo della persona giuridica:</w:t>
      </w:r>
      <w:r>
        <w:rPr>
          <w:spacing w:val="-2"/>
          <w:sz w:val="18"/>
        </w:rPr>
        <w:t xml:space="preserve"> 254900GFCY04N1RL0519</w:t>
      </w:r>
    </w:p>
    <w:p>
      <w:pPr>
        <w:pStyle w:val="BodyText"/>
        <w:rPr>
          <w:sz w:val="24"/>
        </w:rPr>
      </w:pPr>
    </w:p>
    <w:p>
      <w:pPr>
        <w:pStyle w:val="BodyText"/>
        <w:rPr>
          <w:sz w:val="24"/>
        </w:rPr>
      </w:pPr>
    </w:p>
    <w:p>
      <w:pPr>
        <w:pStyle w:val="BodyText"/>
        <w:spacing w:before="272"/>
        <w:rPr>
          <w:sz w:val="24"/>
        </w:rPr>
      </w:pPr>
    </w:p>
    <w:p>
      <w:pPr>
        <w:spacing w:before="0"/>
        <w:ind w:left="3847" w:right="0" w:firstLine="0"/>
        <w:jc w:val="left"/>
        <w:rPr>
          <w:b/>
          <w:sz w:val="24"/>
        </w:rPr>
      </w:pPr>
      <w:r>
        <w:rPr>
          <w:b/>
          <w:sz w:val="24"/>
        </w:rPr>
        <mc:AlternateContent>
          <mc:Choice Requires="wpg">
            <w:drawing>
              <wp:anchor distT="0" distB="0" distL="0" distR="0" simplePos="0" relativeHeight="251708416" behindDoc="1" locked="0" layoutInCell="1" allowOverlap="1">
                <wp:simplePos x="0" y="0"/>
                <wp:positionH relativeFrom="page">
                  <wp:posOffset>1625600</wp:posOffset>
                </wp:positionH>
                <wp:positionV relativeFrom="paragraph">
                  <wp:posOffset>556573</wp:posOffset>
                </wp:positionV>
                <wp:extent cx="5570220" cy="4222750"/>
                <wp:effectExtent l="0" t="0" r="0" b="0"/>
                <wp:wrapNone/>
                <wp:docPr id="6" name="Group 6"/>
                <wp:cNvGraphicFramePr/>
                <a:graphic xmlns:a="http://schemas.openxmlformats.org/drawingml/2006/main">
                  <a:graphicData uri="http://schemas.microsoft.com/office/word/2010/wordprocessingGroup">
                    <wpg:wgp xmlns:wpg="http://schemas.microsoft.com/office/word/2010/wordprocessingGroup">
                      <wpg:cNvGrpSpPr/>
                      <wpg:grpSpPr>
                        <a:xfrm>
                          <a:off x="0" y="0"/>
                          <a:ext cx="5570220" cy="4222750"/>
                          <a:chOff x="0" y="0"/>
                          <a:chExt cx="5570220" cy="4222750"/>
                        </a:xfrm>
                      </wpg:grpSpPr>
                      <wps:wsp xmlns:wps="http://schemas.microsoft.com/office/word/2010/wordprocessingShape">
                        <wps:cNvPr id="7" name="Graphic 7"/>
                        <wps:cNvSpPr/>
                        <wps:spPr>
                          <a:xfrm>
                            <a:off x="0" y="0"/>
                            <a:ext cx="5570220" cy="4222750"/>
                          </a:xfrm>
                          <a:custGeom>
                            <a:avLst/>
                            <a:gdLst/>
                            <a:rect l="l" t="t" r="r" b="b"/>
                            <a:pathLst>
                              <a:path fill="norm" h="4222750" w="5570220" stroke="1">
                                <a:moveTo>
                                  <a:pt x="5570220" y="4222750"/>
                                </a:moveTo>
                                <a:lnTo>
                                  <a:pt x="0" y="4222750"/>
                                </a:lnTo>
                                <a:lnTo>
                                  <a:pt x="0" y="0"/>
                                </a:lnTo>
                                <a:lnTo>
                                  <a:pt x="5570220" y="0"/>
                                </a:lnTo>
                                <a:lnTo>
                                  <a:pt x="5570220" y="4222750"/>
                                </a:lnTo>
                                <a:close/>
                              </a:path>
                            </a:pathLst>
                          </a:custGeom>
                          <a:solidFill>
                            <a:srgbClr val="EFEFEF"/>
                          </a:solidFill>
                        </wps:spPr>
                        <wps:bodyPr wrap="square" lIns="0" tIns="0" rIns="0" bIns="0" rtlCol="0">
                          <a:prstTxWarp prst="textNoShape">
                            <a:avLst/>
                          </a:prstTxWarp>
                        </wps:bodyPr>
                      </wps:wsp>
                      <wps:wsp xmlns:wps="http://schemas.microsoft.com/office/word/2010/wordprocessingShape">
                        <wps:cNvPr id="8" name="Graphic 8"/>
                        <wps:cNvSpPr/>
                        <wps:spPr>
                          <a:xfrm>
                            <a:off x="2819400" y="419099"/>
                            <a:ext cx="742950" cy="2603500"/>
                          </a:xfrm>
                          <a:custGeom>
                            <a:avLst/>
                            <a:gdLst/>
                            <a:rect l="l" t="t" r="r" b="b"/>
                            <a:pathLst>
                              <a:path fill="norm" h="2603500" w="742950" stroke="1">
                                <a:moveTo>
                                  <a:pt x="158750" y="349250"/>
                                </a:moveTo>
                                <a:lnTo>
                                  <a:pt x="0" y="349250"/>
                                </a:lnTo>
                                <a:lnTo>
                                  <a:pt x="0" y="508000"/>
                                </a:lnTo>
                                <a:lnTo>
                                  <a:pt x="158750" y="508000"/>
                                </a:lnTo>
                                <a:lnTo>
                                  <a:pt x="158750" y="349250"/>
                                </a:lnTo>
                                <a:close/>
                              </a:path>
                              <a:path fill="norm" h="2603500" w="742950" stroke="1">
                                <a:moveTo>
                                  <a:pt x="336550" y="2444750"/>
                                </a:moveTo>
                                <a:lnTo>
                                  <a:pt x="177800" y="2444750"/>
                                </a:lnTo>
                                <a:lnTo>
                                  <a:pt x="177800" y="2603500"/>
                                </a:lnTo>
                                <a:lnTo>
                                  <a:pt x="336550" y="2603500"/>
                                </a:lnTo>
                                <a:lnTo>
                                  <a:pt x="336550" y="2444750"/>
                                </a:lnTo>
                                <a:close/>
                              </a:path>
                              <a:path fill="norm" h="2603500" w="742950" stroke="1">
                                <a:moveTo>
                                  <a:pt x="336550" y="1746250"/>
                                </a:moveTo>
                                <a:lnTo>
                                  <a:pt x="177800" y="1746250"/>
                                </a:lnTo>
                                <a:lnTo>
                                  <a:pt x="177800" y="1905000"/>
                                </a:lnTo>
                                <a:lnTo>
                                  <a:pt x="336550" y="1905000"/>
                                </a:lnTo>
                                <a:lnTo>
                                  <a:pt x="336550" y="1746250"/>
                                </a:lnTo>
                                <a:close/>
                              </a:path>
                              <a:path fill="norm" h="2603500" w="742950" stroke="1">
                                <a:moveTo>
                                  <a:pt x="336550" y="1047750"/>
                                </a:moveTo>
                                <a:lnTo>
                                  <a:pt x="177800" y="1047750"/>
                                </a:lnTo>
                                <a:lnTo>
                                  <a:pt x="177800" y="1206500"/>
                                </a:lnTo>
                                <a:lnTo>
                                  <a:pt x="336550" y="1206500"/>
                                </a:lnTo>
                                <a:lnTo>
                                  <a:pt x="336550" y="1047750"/>
                                </a:lnTo>
                                <a:close/>
                              </a:path>
                              <a:path fill="norm" h="2603500" w="742950" stroke="1">
                                <a:moveTo>
                                  <a:pt x="742950" y="0"/>
                                </a:moveTo>
                                <a:lnTo>
                                  <a:pt x="584200" y="0"/>
                                </a:lnTo>
                                <a:lnTo>
                                  <a:pt x="584200" y="158750"/>
                                </a:lnTo>
                                <a:lnTo>
                                  <a:pt x="742950" y="158750"/>
                                </a:lnTo>
                                <a:lnTo>
                                  <a:pt x="742950" y="0"/>
                                </a:lnTo>
                                <a:close/>
                              </a:path>
                            </a:pathLst>
                          </a:custGeom>
                          <a:solidFill>
                            <a:srgbClr val="FFFFFF"/>
                          </a:solidFill>
                        </wps:spPr>
                        <wps:bodyPr wrap="square" lIns="0" tIns="0" rIns="0" bIns="0" rtlCol="0">
                          <a:prstTxWarp prst="textNoShape">
                            <a:avLst/>
                          </a:prstTxWarp>
                        </wps:bodyPr>
                      </wps:wsp>
                    </wpg:wgp>
                  </a:graphicData>
                </a:graphic>
              </wp:anchor>
            </w:drawing>
          </mc:Choice>
          <mc:Fallback>
            <w:pict>
              <v:group id="_x0000_s1030" style="width:438.6pt;height:332.5pt;margin-top:43.82pt;margin-left:128pt;mso-position-horizontal-relative:page;position:absolute;z-index:-251607040" coordorigin="2560,876" coordsize="8772,6650">
                <v:rect id="_x0000_s1031" style="width:8772;height:6650;left:2560;position:absolute;top:876" filled="t" fillcolor="#efefef" stroked="f">
                  <v:fill type="solid"/>
                </v:rect>
                <v:shape id="_x0000_s1032" style="width:1170;height:4100;left:7000;position:absolute;top:1536" coordorigin="7000,1536" coordsize="1170,4100" path="m7250,2086l7000,2086,7000,2336,7250,2336,7250,2086xm7530,5386l7280,5386,7280,5636,7530,5636,7530,5386xm7530,4286l7280,4286,7280,4536,7530,4536,7530,4286xm7530,3186l7280,3186,7280,3436,7530,3436,7530,3186xm8170,1536l7920,1536,7920,1786,8170,1786,8170,1536xe" filled="t" fillcolor="white" stroked="f">
                  <v:fill type="solid"/>
                  <v:path arrowok="t"/>
                </v:shape>
              </v:group>
            </w:pict>
          </mc:Fallback>
        </mc:AlternateContent>
      </w:r>
      <w:r>
        <w:rPr>
          <w:b/>
          <w:sz w:val="24"/>
        </w:rPr>
        <w:drawing>
          <wp:anchor distT="0" distB="0" distL="0" distR="0" simplePos="0" relativeHeight="251660288" behindDoc="0" locked="0" layoutInCell="1" allowOverlap="1">
            <wp:simplePos x="0" y="0"/>
            <wp:positionH relativeFrom="page">
              <wp:posOffset>1727200</wp:posOffset>
            </wp:positionH>
            <wp:positionV relativeFrom="paragraph">
              <wp:posOffset>975673</wp:posOffset>
            </wp:positionV>
            <wp:extent cx="158750" cy="158750"/>
            <wp:effectExtent l="0" t="0" r="0" b="0"/>
            <wp:wrapNone/>
            <wp:docPr id="9" name="Image 9"/>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xmlns:r="http://schemas.openxmlformats.org/officeDocument/2006/relationships" r:embed="rId4" cstate="print"/>
                    <a:stretch>
                      <a:fillRect/>
                    </a:stretch>
                  </pic:blipFill>
                  <pic:spPr>
                    <a:xfrm>
                      <a:off x="0" y="0"/>
                      <a:ext cx="158750" cy="158750"/>
                    </a:xfrm>
                    <a:prstGeom prst="rect">
                      <a:avLst/>
                    </a:prstGeom>
                  </pic:spPr>
                </pic:pic>
              </a:graphicData>
            </a:graphic>
          </wp:anchor>
        </w:drawing>
      </w:r>
      <w:r>
        <w:rPr>
          <w:b/>
          <w:sz w:val="24"/>
        </w:rPr>
        <w:drawing>
          <wp:anchor distT="0" distB="0" distL="0" distR="0" simplePos="0" relativeHeight="251661312" behindDoc="0" locked="0" layoutInCell="1" allowOverlap="1">
            <wp:simplePos x="0" y="0"/>
            <wp:positionH relativeFrom="page">
              <wp:posOffset>1949450</wp:posOffset>
            </wp:positionH>
            <wp:positionV relativeFrom="paragraph">
              <wp:posOffset>975673</wp:posOffset>
            </wp:positionV>
            <wp:extent cx="158750" cy="158750"/>
            <wp:effectExtent l="0" t="0" r="0" b="0"/>
            <wp:wrapNone/>
            <wp:docPr id="10" name="Image 10"/>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xmlns:r="http://schemas.openxmlformats.org/officeDocument/2006/relationships" r:embed="rId4" cstate="print"/>
                    <a:stretch>
                      <a:fillRect/>
                    </a:stretch>
                  </pic:blipFill>
                  <pic:spPr>
                    <a:xfrm>
                      <a:off x="0" y="0"/>
                      <a:ext cx="158750" cy="158750"/>
                    </a:xfrm>
                    <a:prstGeom prst="rect">
                      <a:avLst/>
                    </a:prstGeom>
                  </pic:spPr>
                </pic:pic>
              </a:graphicData>
            </a:graphic>
          </wp:anchor>
        </w:drawing>
      </w:r>
      <w:r>
        <w:rPr>
          <w:b/>
          <w:sz w:val="24"/>
        </w:rPr>
        <w:drawing>
          <wp:anchor distT="0" distB="0" distL="0" distR="0" simplePos="0" relativeHeight="251662336" behindDoc="0" locked="0" layoutInCell="1" allowOverlap="1">
            <wp:simplePos x="0" y="0"/>
            <wp:positionH relativeFrom="page">
              <wp:posOffset>4572000</wp:posOffset>
            </wp:positionH>
            <wp:positionV relativeFrom="paragraph">
              <wp:posOffset>975673</wp:posOffset>
            </wp:positionV>
            <wp:extent cx="158750" cy="158750"/>
            <wp:effectExtent l="0" t="0" r="0" b="0"/>
            <wp:wrapNone/>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xmlns:r="http://schemas.openxmlformats.org/officeDocument/2006/relationships" r:embed="rId4" cstate="print"/>
                    <a:stretch>
                      <a:fillRect/>
                    </a:stretch>
                  </pic:blipFill>
                  <pic:spPr>
                    <a:xfrm>
                      <a:off x="0" y="0"/>
                      <a:ext cx="158750" cy="158750"/>
                    </a:xfrm>
                    <a:prstGeom prst="rect">
                      <a:avLst/>
                    </a:prstGeom>
                  </pic:spPr>
                </pic:pic>
              </a:graphicData>
            </a:graphic>
          </wp:anchor>
        </w:drawing>
      </w:r>
      <w:r>
        <w:rPr>
          <w:b/>
          <w:sz w:val="24"/>
        </w:rPr>
        <w:drawing>
          <wp:anchor distT="0" distB="0" distL="0" distR="0" simplePos="0" relativeHeight="251663360" behindDoc="0" locked="0" layoutInCell="1" allowOverlap="1">
            <wp:simplePos x="0" y="0"/>
            <wp:positionH relativeFrom="page">
              <wp:posOffset>4794250</wp:posOffset>
            </wp:positionH>
            <wp:positionV relativeFrom="paragraph">
              <wp:posOffset>975673</wp:posOffset>
            </wp:positionV>
            <wp:extent cx="158750" cy="158750"/>
            <wp:effectExtent l="0" t="0" r="0" b="0"/>
            <wp:wrapNone/>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xmlns:r="http://schemas.openxmlformats.org/officeDocument/2006/relationships" r:embed="rId5" cstate="print"/>
                    <a:stretch>
                      <a:fillRect/>
                    </a:stretch>
                  </pic:blipFill>
                  <pic:spPr>
                    <a:xfrm>
                      <a:off x="0" y="0"/>
                      <a:ext cx="158750" cy="158750"/>
                    </a:xfrm>
                    <a:prstGeom prst="rect">
                      <a:avLst/>
                    </a:prstGeom>
                  </pic:spPr>
                </pic:pic>
              </a:graphicData>
            </a:graphic>
          </wp:anchor>
        </w:drawing>
      </w:r>
      <w:r>
        <w:rPr>
          <w:b/>
          <w:sz w:val="24"/>
        </w:rPr>
        <mc:AlternateContent>
          <mc:Choice Requires="wps">
            <w:drawing>
              <wp:anchor distT="0" distB="0" distL="0" distR="0" simplePos="0" relativeHeight="251664384" behindDoc="0" locked="0" layoutInCell="1" allowOverlap="1">
                <wp:simplePos x="0" y="0"/>
                <wp:positionH relativeFrom="page">
                  <wp:posOffset>2235200</wp:posOffset>
                </wp:positionH>
                <wp:positionV relativeFrom="paragraph">
                  <wp:posOffset>975673</wp:posOffset>
                </wp:positionV>
                <wp:extent cx="158750" cy="158750"/>
                <wp:effectExtent l="0" t="0" r="0" b="0"/>
                <wp:wrapNone/>
                <wp:docPr id="13" name="Graphic 13"/>
                <wp:cNvGraphicFramePr/>
                <a:graphic xmlns:a="http://schemas.openxmlformats.org/drawingml/2006/main">
                  <a:graphicData uri="http://schemas.microsoft.com/office/word/2010/wordprocessingShape">
                    <wps:wsp xmlns:wps="http://schemas.microsoft.com/office/word/2010/wordprocessingShape">
                      <wps:cNvSpPr/>
                      <wps:spPr>
                        <a:xfrm>
                          <a:off x="0" y="0"/>
                          <a:ext cx="158750" cy="158750"/>
                        </a:xfrm>
                        <a:custGeom>
                          <a:avLst/>
                          <a:gdLst/>
                          <a:rect l="l" t="t" r="r" b="b"/>
                          <a:pathLst>
                            <a:path fill="norm" h="158750" w="158750" stroke="1">
                              <a:moveTo>
                                <a:pt x="158750" y="158750"/>
                              </a:moveTo>
                              <a:lnTo>
                                <a:pt x="0" y="158750"/>
                              </a:lnTo>
                              <a:lnTo>
                                <a:pt x="0" y="0"/>
                              </a:lnTo>
                              <a:lnTo>
                                <a:pt x="158750" y="0"/>
                              </a:lnTo>
                              <a:lnTo>
                                <a:pt x="158750" y="158750"/>
                              </a:lnTo>
                              <a:close/>
                            </a:path>
                          </a:pathLst>
                        </a:custGeom>
                        <a:solidFill>
                          <a:srgbClr val="FFFFFF"/>
                        </a:solidFill>
                      </wps:spPr>
                      <wps:bodyPr wrap="square" lIns="0" tIns="0" rIns="0" bIns="0" rtlCol="0">
                        <a:prstTxWarp prst="textNoShape">
                          <a:avLst/>
                        </a:prstTxWarp>
                      </wps:bodyPr>
                    </wps:wsp>
                  </a:graphicData>
                </a:graphic>
              </wp:anchor>
            </w:drawing>
          </mc:Choice>
          <mc:Fallback>
            <w:pict>
              <v:rect id="_x0000_s1033" style="width:12.5pt;height:12.5pt;margin-top:76.82pt;margin-left:176pt;mso-position-horizontal-relative:page;position:absolute;z-index:251665408" filled="t" fillcolor="white" stroked="f">
                <v:fill type="solid"/>
              </v:rect>
            </w:pict>
          </mc:Fallback>
        </mc:AlternateContent>
      </w:r>
      <w:r>
        <w:rPr>
          <w:b/>
          <w:sz w:val="24"/>
        </w:rPr>
        <mc:AlternateContent>
          <mc:Choice Requires="wps">
            <w:drawing>
              <wp:anchor distT="0" distB="0" distL="0" distR="0" simplePos="0" relativeHeight="251666432" behindDoc="0" locked="0" layoutInCell="1" allowOverlap="1">
                <wp:simplePos x="0" y="0"/>
                <wp:positionH relativeFrom="page">
                  <wp:posOffset>1651000</wp:posOffset>
                </wp:positionH>
                <wp:positionV relativeFrom="paragraph">
                  <wp:posOffset>1324923</wp:posOffset>
                </wp:positionV>
                <wp:extent cx="158750" cy="158750"/>
                <wp:effectExtent l="0" t="0" r="0" b="0"/>
                <wp:wrapNone/>
                <wp:docPr id="14" name="Graphic 14"/>
                <wp:cNvGraphicFramePr/>
                <a:graphic xmlns:a="http://schemas.openxmlformats.org/drawingml/2006/main">
                  <a:graphicData uri="http://schemas.microsoft.com/office/word/2010/wordprocessingShape">
                    <wps:wsp xmlns:wps="http://schemas.microsoft.com/office/word/2010/wordprocessingShape">
                      <wps:cNvSpPr/>
                      <wps:spPr>
                        <a:xfrm>
                          <a:off x="0" y="0"/>
                          <a:ext cx="158750" cy="158750"/>
                        </a:xfrm>
                        <a:custGeom>
                          <a:avLst/>
                          <a:gdLst/>
                          <a:rect l="l" t="t" r="r" b="b"/>
                          <a:pathLst>
                            <a:path fill="norm" h="158750" w="158750" stroke="1">
                              <a:moveTo>
                                <a:pt x="158750" y="158750"/>
                              </a:moveTo>
                              <a:lnTo>
                                <a:pt x="0" y="158750"/>
                              </a:lnTo>
                              <a:lnTo>
                                <a:pt x="0" y="0"/>
                              </a:lnTo>
                              <a:lnTo>
                                <a:pt x="158750" y="0"/>
                              </a:lnTo>
                              <a:lnTo>
                                <a:pt x="158750" y="158750"/>
                              </a:lnTo>
                              <a:close/>
                            </a:path>
                          </a:pathLst>
                        </a:custGeom>
                        <a:solidFill>
                          <a:srgbClr val="FFFFFF"/>
                        </a:solidFill>
                      </wps:spPr>
                      <wps:bodyPr wrap="square" lIns="0" tIns="0" rIns="0" bIns="0" rtlCol="0">
                        <a:prstTxWarp prst="textNoShape">
                          <a:avLst/>
                        </a:prstTxWarp>
                      </wps:bodyPr>
                    </wps:wsp>
                  </a:graphicData>
                </a:graphic>
              </wp:anchor>
            </w:drawing>
          </mc:Choice>
          <mc:Fallback>
            <w:pict>
              <v:rect id="_x0000_s1034" style="width:12.5pt;height:12.5pt;margin-top:104.32pt;margin-left:130pt;mso-position-horizontal-relative:page;position:absolute;z-index:251667456" filled="t" fillcolor="white" stroked="f">
                <v:fill type="solid"/>
              </v:rect>
            </w:pict>
          </mc:Fallback>
        </mc:AlternateContent>
      </w:r>
      <w:r>
        <w:rPr>
          <w:b/>
          <w:sz w:val="22"/>
        </w:rPr>
        <w:t>Caratteristiche ambientali e/o sociali</w:t>
      </w:r>
    </w:p>
    <w:p>
      <w:pPr>
        <w:pStyle w:val="BodyText"/>
        <w:rPr>
          <w:b/>
          <w:sz w:val="20"/>
        </w:rPr>
      </w:pPr>
    </w:p>
    <w:p>
      <w:pPr>
        <w:pStyle w:val="BodyText"/>
        <w:spacing w:before="116"/>
        <w:rPr>
          <w:b/>
          <w:sz w:val="20"/>
        </w:rPr>
      </w:pPr>
      <w:r>
        <w:rPr>
          <w:b/>
          <w:sz w:val="20"/>
        </w:rPr>
        <mc:AlternateContent>
          <mc:Choice Requires="wps">
            <w:drawing>
              <wp:anchor distT="0" distB="0" distL="0" distR="0" simplePos="0" relativeHeight="251728896" behindDoc="1" locked="0" layoutInCell="1" allowOverlap="1">
                <wp:simplePos x="0" y="0"/>
                <wp:positionH relativeFrom="page">
                  <wp:posOffset>355600</wp:posOffset>
                </wp:positionH>
                <wp:positionV relativeFrom="paragraph">
                  <wp:posOffset>1060437</wp:posOffset>
                </wp:positionV>
                <wp:extent cx="1168400" cy="2921000"/>
                <wp:effectExtent l="0" t="0" r="0" b="0"/>
                <wp:wrapTopAndBottom/>
                <wp:docPr id="15" name="Textbox 15"/>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2921000"/>
                        </a:xfrm>
                        <a:prstGeom prst="rect">
                          <a:avLst/>
                        </a:prstGeom>
                        <a:solidFill>
                          <a:srgbClr val="EFEFEF"/>
                        </a:solidFill>
                      </wps:spPr>
                      <wps:txbx>
                        <w:txbxContent>
                          <w:p>
                            <w:pPr>
                              <w:spacing w:before="0" w:line="264" w:lineRule="auto"/>
                              <w:ind w:left="0" w:right="160" w:firstLine="0"/>
                              <w:jc w:val="left"/>
                              <w:rPr>
                                <w:sz w:val="16"/>
                              </w:rPr>
                            </w:pPr>
                            <w:r>
                              <w:rPr>
                                <w:b/>
                                <w:sz w:val="15"/>
                              </w:rPr>
                              <w:t xml:space="preserve">La tassonomia dell’UE </w:t>
                            </w:r>
                            <w:r>
                              <w:rPr>
                                <w:sz w:val="15"/>
                              </w:rPr>
                              <w:t>è un sistema di classificazione stabilito dal regolamento (UE) 2020/852,</w:t>
                            </w:r>
                          </w:p>
                          <w:p>
                            <w:pPr>
                              <w:spacing w:before="0" w:line="264" w:lineRule="auto"/>
                              <w:ind w:left="0" w:right="160" w:firstLine="0"/>
                              <w:jc w:val="left"/>
                              <w:rPr>
                                <w:b/>
                                <w:sz w:val="16"/>
                              </w:rPr>
                            </w:pPr>
                            <w:r>
                              <w:rPr>
                                <w:sz w:val="15"/>
                              </w:rPr>
                              <w:t xml:space="preserve">che istituisce un elenco di </w:t>
                            </w:r>
                            <w:r>
                              <w:rPr>
                                <w:b/>
                                <w:sz w:val="15"/>
                              </w:rPr>
                              <w:t>attività economiche sostenibili dal punto di vista ambientale.</w:t>
                            </w:r>
                          </w:p>
                          <w:p>
                            <w:pPr>
                              <w:spacing w:before="0" w:line="264" w:lineRule="auto"/>
                              <w:ind w:left="0" w:right="157" w:firstLine="0"/>
                              <w:jc w:val="left"/>
                              <w:rPr>
                                <w:sz w:val="16"/>
                              </w:rPr>
                            </w:pPr>
                            <w:r>
                              <w:rPr>
                                <w:sz w:val="15"/>
                              </w:rPr>
                              <w:t>Tale regolamento non stabilisce un elenco di attività economiche socialmente sostenibili. Gli investimenti sostenibili con un obiettivo ambientale possono essere allineati o meno alla tassonomia.</w:t>
                            </w:r>
                          </w:p>
                        </w:txbxContent>
                      </wps:txbx>
                      <wps:bodyPr wrap="square" lIns="0" tIns="0" rIns="0" bIns="0" rtlCol="0"/>
                    </wps:wsp>
                  </a:graphicData>
                </a:graphic>
              </wp:anchor>
            </w:drawing>
          </mc:Choice>
          <mc:Fallback>
            <w:pict>
              <v:shape id="_x0000_s1035" type="#_x0000_t202" style="width:92pt;height:230pt;margin-top:83.5pt;margin-left:28pt;mso-position-horizontal-relative:page;mso-wrap-distance-left:0;mso-wrap-distance-right:0;position:absolute;z-index:-251586560" filled="t" fillcolor="#efefef" stroked="f">
                <v:fill type="solid"/>
                <v:textbox inset="0,0,0,0">
                  <w:txbxContent>
                    <w:p>
                      <w:pPr>
                        <w:spacing w:before="0" w:line="264" w:lineRule="auto"/>
                        <w:ind w:left="0" w:right="160" w:firstLine="0"/>
                        <w:jc w:val="left"/>
                        <w:rPr>
                          <w:sz w:val="16"/>
                        </w:rPr>
                      </w:pPr>
                      <w:r>
                        <w:rPr>
                          <w:b/>
                          <w:sz w:val="16"/>
                        </w:rPr>
                        <w:t xml:space="preserve">La tassonomia dell’UE </w:t>
                      </w:r>
                      <w:r>
                        <w:rPr>
                          <w:sz w:val="16"/>
                        </w:rPr>
                        <w:t>è un sistema di classificazione stabilito dal regolamento (UE) 2020/852,</w:t>
                      </w:r>
                    </w:p>
                    <w:p>
                      <w:pPr>
                        <w:spacing w:before="0" w:line="264" w:lineRule="auto"/>
                        <w:ind w:left="0" w:right="160" w:firstLine="0"/>
                        <w:jc w:val="left"/>
                        <w:rPr>
                          <w:b/>
                          <w:sz w:val="16"/>
                        </w:rPr>
                      </w:pPr>
                      <w:r>
                        <w:rPr>
                          <w:sz w:val="16"/>
                        </w:rPr>
                        <w:t xml:space="preserve">che stabilisce un elenco di </w:t>
                      </w:r>
                      <w:r>
                        <w:rPr>
                          <w:b/>
                          <w:sz w:val="16"/>
                        </w:rPr>
                        <w:t>attività economiche sostenibili dal punto di vista ambientale.</w:t>
                      </w:r>
                    </w:p>
                    <w:p>
                      <w:pPr>
                        <w:spacing w:before="0" w:line="264" w:lineRule="auto"/>
                        <w:ind w:left="0" w:right="157" w:firstLine="0"/>
                        <w:jc w:val="left"/>
                        <w:rPr>
                          <w:sz w:val="16"/>
                        </w:rPr>
                      </w:pPr>
                      <w:r>
                        <w:rPr>
                          <w:sz w:val="16"/>
                        </w:rPr>
                        <w:t>Tale regolamento non stabilisce un elenco di attività economiche socialmente sostenibili. Gli investimenti sostenibili con un obiettivo ambientale potrebbero essere in linea con la tassonomia oppure no.</w:t>
                      </w:r>
                    </w:p>
                  </w:txbxContent>
                </v:textbox>
                <w10:wrap type="topAndBottom"/>
              </v:shape>
            </w:pict>
          </mc:Fallback>
        </mc:AlternateContent>
      </w:r>
      <w:r>
        <w:rPr>
          <w:b/>
          <w:sz w:val="20"/>
        </w:rPr>
        <mc:AlternateContent>
          <mc:Choice Requires="wps">
            <w:drawing>
              <wp:anchor distT="0" distB="0" distL="0" distR="0" simplePos="0" relativeHeight="251730944" behindDoc="1" locked="0" layoutInCell="1" allowOverlap="1">
                <wp:simplePos x="0" y="0"/>
                <wp:positionH relativeFrom="page">
                  <wp:posOffset>1625600</wp:posOffset>
                </wp:positionH>
                <wp:positionV relativeFrom="paragraph">
                  <wp:posOffset>234937</wp:posOffset>
                </wp:positionV>
                <wp:extent cx="5570220" cy="4222750"/>
                <wp:effectExtent l="0" t="0" r="0" b="0"/>
                <wp:wrapTopAndBottom/>
                <wp:docPr id="16" name="Textbox 16"/>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4222750"/>
                        </a:xfrm>
                        <a:prstGeom prst="rect">
                          <a:avLst/>
                        </a:prstGeom>
                      </wps:spPr>
                      <wps:txbx>
                        <w:txbxContent>
                          <w:tbl>
                            <w:tblPr>
                              <w:tblStyle w:val="TableNormal"/>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350"/>
                              <w:gridCol w:w="4422"/>
                            </w:tblGrid>
                            <w:tr>
                              <w:tblPrEx>
                                <w:tblW w:w="0" w:type="auto"/>
                                <w:tblInd w:w="7" w:type="dxa"/>
                                <w:tblLayout w:type="fixed"/>
                                <w:tblLook w:val="01E0"/>
                              </w:tblPrEx>
                              <w:trPr>
                                <w:trHeight w:val="660"/>
                              </w:trPr>
                              <w:tc>
                                <w:tcPr>
                                  <w:tcW w:w="8772" w:type="dxa"/>
                                  <w:gridSpan w:val="2"/>
                                  <w:shd w:val="clear" w:color="auto" w:fill="EFEFEF"/>
                                </w:tcPr>
                                <w:p>
                                  <w:pPr>
                                    <w:pStyle w:val="TableParagraph"/>
                                    <w:spacing w:before="114"/>
                                    <w:rPr>
                                      <w:b/>
                                      <w:sz w:val="18"/>
                                    </w:rPr>
                                  </w:pPr>
                                  <w:r>
                                    <w:rPr>
                                      <w:b/>
                                      <w:sz w:val="16"/>
                                    </w:rPr>
                                    <w:t>Questo prodotto finanziario ha un obiettivo di investimento sostenibile?</w:t>
                                  </w:r>
                                </w:p>
                              </w:tc>
                            </w:tr>
                            <w:tr>
                              <w:tblPrEx>
                                <w:tblW w:w="0" w:type="auto"/>
                                <w:tblInd w:w="7" w:type="dxa"/>
                                <w:tblLayout w:type="fixed"/>
                                <w:tblLook w:val="01E0"/>
                              </w:tblPrEx>
                              <w:trPr>
                                <w:trHeight w:val="442"/>
                              </w:trPr>
                              <w:tc>
                                <w:tcPr>
                                  <w:tcW w:w="4350" w:type="dxa"/>
                                  <w:tcBorders>
                                    <w:bottom w:val="single" w:sz="6" w:space="0" w:color="566B75"/>
                                    <w:right w:val="single" w:sz="6" w:space="0" w:color="566B75"/>
                                  </w:tcBorders>
                                  <w:shd w:val="clear" w:color="auto" w:fill="EFEFEF"/>
                                </w:tcPr>
                                <w:p>
                                  <w:pPr>
                                    <w:pStyle w:val="TableParagraph"/>
                                    <w:spacing w:line="223" w:lineRule="exact"/>
                                    <w:ind w:left="1400"/>
                                    <w:rPr>
                                      <w:b/>
                                      <w:sz w:val="20"/>
                                    </w:rPr>
                                  </w:pPr>
                                  <w:r>
                                    <w:rPr>
                                      <w:b/>
                                      <w:spacing w:val="-5"/>
                                      <w:sz w:val="18"/>
                                    </w:rPr>
                                    <w:t>Sì</w:t>
                                  </w:r>
                                </w:p>
                              </w:tc>
                              <w:tc>
                                <w:tcPr>
                                  <w:tcW w:w="4422" w:type="dxa"/>
                                  <w:tcBorders>
                                    <w:left w:val="single" w:sz="6" w:space="0" w:color="566B75"/>
                                    <w:bottom w:val="single" w:sz="6" w:space="0" w:color="566B75"/>
                                  </w:tcBorders>
                                </w:tcPr>
                                <w:p>
                                  <w:pPr>
                                    <w:pStyle w:val="TableParagraph"/>
                                    <w:tabs>
                                      <w:tab w:val="left" w:pos="1442"/>
                                    </w:tabs>
                                    <w:spacing w:line="223" w:lineRule="exact"/>
                                    <w:ind w:left="1061"/>
                                    <w:rPr>
                                      <w:b/>
                                      <w:sz w:val="20"/>
                                    </w:rPr>
                                  </w:pPr>
                                  <w:r>
                                    <w:rPr>
                                      <w:b/>
                                      <w:spacing w:val="-10"/>
                                      <w:sz w:val="18"/>
                                    </w:rPr>
                                    <w:t>X</w:t>
                                  </w:r>
                                  <w:r>
                                    <w:rPr>
                                      <w:b/>
                                      <w:sz w:val="18"/>
                                    </w:rPr>
                                    <w:tab/>
                                  </w:r>
                                  <w:r>
                                    <w:rPr>
                                      <w:b/>
                                      <w:spacing w:val="-5"/>
                                      <w:sz w:val="18"/>
                                    </w:rPr>
                                    <w:t>No</w:t>
                                  </w:r>
                                </w:p>
                              </w:tc>
                            </w:tr>
                            <w:tr>
                              <w:tblPrEx>
                                <w:tblW w:w="0" w:type="auto"/>
                                <w:tblInd w:w="7" w:type="dxa"/>
                                <w:tblLayout w:type="fixed"/>
                                <w:tblLook w:val="01E0"/>
                              </w:tblPrEx>
                              <w:trPr>
                                <w:trHeight w:val="5532"/>
                              </w:trPr>
                              <w:tc>
                                <w:tcPr>
                                  <w:tcW w:w="4350" w:type="dxa"/>
                                  <w:tcBorders>
                                    <w:top w:val="single" w:sz="6" w:space="0" w:color="566B75"/>
                                    <w:right w:val="single" w:sz="6" w:space="0" w:color="566B75"/>
                                  </w:tcBorders>
                                  <w:shd w:val="clear" w:color="auto" w:fill="EFEFEF"/>
                                </w:tcPr>
                                <w:p>
                                  <w:pPr>
                                    <w:pStyle w:val="TableParagraph"/>
                                    <w:spacing w:before="87"/>
                                    <w:ind w:left="400" w:right="1414"/>
                                    <w:rPr>
                                      <w:sz w:val="16"/>
                                    </w:rPr>
                                  </w:pPr>
                                  <w:r>
                                    <w:rPr>
                                      <w:sz w:val="15"/>
                                    </w:rPr>
                                    <w:t xml:space="preserve">Effettuerà una quota minima di </w:t>
                                  </w:r>
                                  <w:r>
                                    <w:rPr>
                                      <w:b/>
                                      <w:sz w:val="15"/>
                                    </w:rPr>
                                    <w:t xml:space="preserve">investimenti sostenibili con un obiettivo ambientale: </w:t>
                                  </w:r>
                                  <w:r>
                                    <w:rPr>
                                      <w:sz w:val="15"/>
                                    </w:rPr>
                                    <w:t xml:space="preserve"> %</w:t>
                                  </w:r>
                                </w:p>
                                <w:p>
                                  <w:pPr>
                                    <w:pStyle w:val="TableParagraph"/>
                                    <w:rPr>
                                      <w:b/>
                                      <w:sz w:val="16"/>
                                    </w:rPr>
                                  </w:pPr>
                                </w:p>
                                <w:p>
                                  <w:pPr>
                                    <w:pStyle w:val="TableParagraph"/>
                                    <w:spacing w:before="180"/>
                                    <w:rPr>
                                      <w:b/>
                                      <w:sz w:val="16"/>
                                    </w:rPr>
                                  </w:pPr>
                                </w:p>
                                <w:p>
                                  <w:pPr>
                                    <w:pStyle w:val="TableParagraph"/>
                                    <w:ind w:left="680" w:right="1819"/>
                                    <w:jc w:val="both"/>
                                    <w:rPr>
                                      <w:sz w:val="16"/>
                                    </w:rPr>
                                  </w:pPr>
                                  <w:r>
                                    <w:rPr>
                                      <w:sz w:val="15"/>
                                    </w:rPr>
                                    <w:t>in attività economiche che rientrano nella classificazione di sostenibilità ambientale secondo la tassonomia dell’UE</w:t>
                                  </w:r>
                                </w:p>
                                <w:p>
                                  <w:pPr>
                                    <w:pStyle w:val="TableParagraph"/>
                                    <w:spacing w:before="180"/>
                                    <w:rPr>
                                      <w:b/>
                                      <w:sz w:val="16"/>
                                    </w:rPr>
                                  </w:pPr>
                                </w:p>
                                <w:p>
                                  <w:pPr>
                                    <w:pStyle w:val="TableParagraph"/>
                                    <w:ind w:left="680" w:right="1414"/>
                                    <w:rPr>
                                      <w:sz w:val="16"/>
                                    </w:rPr>
                                  </w:pPr>
                                  <w:r>
                                    <w:rPr>
                                      <w:sz w:val="15"/>
                                    </w:rPr>
                                    <w:t>in attività economiche che non sono considerate sostenibili dal punto di vista ambientale ai sensi della Tassonomia dell’UE</w:t>
                                  </w:r>
                                </w:p>
                                <w:p>
                                  <w:pPr>
                                    <w:pStyle w:val="TableParagraph"/>
                                    <w:rPr>
                                      <w:b/>
                                      <w:sz w:val="16"/>
                                    </w:rPr>
                                  </w:pPr>
                                </w:p>
                                <w:p>
                                  <w:pPr>
                                    <w:pStyle w:val="TableParagraph"/>
                                    <w:rPr>
                                      <w:b/>
                                      <w:sz w:val="16"/>
                                    </w:rPr>
                                  </w:pPr>
                                </w:p>
                                <w:p>
                                  <w:pPr>
                                    <w:pStyle w:val="TableParagraph"/>
                                    <w:rPr>
                                      <w:b/>
                                      <w:sz w:val="16"/>
                                    </w:rPr>
                                  </w:pPr>
                                </w:p>
                                <w:p>
                                  <w:pPr>
                                    <w:pStyle w:val="TableParagraph"/>
                                    <w:rPr>
                                      <w:b/>
                                      <w:sz w:val="16"/>
                                    </w:rPr>
                                  </w:pPr>
                                </w:p>
                                <w:p>
                                  <w:pPr>
                                    <w:pStyle w:val="TableParagraph"/>
                                    <w:rPr>
                                      <w:b/>
                                      <w:sz w:val="16"/>
                                    </w:rPr>
                                  </w:pPr>
                                </w:p>
                                <w:p>
                                  <w:pPr>
                                    <w:pStyle w:val="TableParagraph"/>
                                    <w:spacing w:before="40"/>
                                    <w:rPr>
                                      <w:b/>
                                      <w:sz w:val="16"/>
                                    </w:rPr>
                                  </w:pPr>
                                </w:p>
                                <w:p>
                                  <w:pPr>
                                    <w:pStyle w:val="TableParagraph"/>
                                    <w:ind w:left="360" w:right="1414"/>
                                    <w:rPr>
                                      <w:b/>
                                      <w:sz w:val="16"/>
                                    </w:rPr>
                                  </w:pPr>
                                  <w:r>
                                    <w:rPr>
                                      <w:sz w:val="15"/>
                                    </w:rPr>
                                    <w:t xml:space="preserve">Effettuerà una quota minima di </w:t>
                                  </w:r>
                                  <w:r>
                                    <w:rPr>
                                      <w:b/>
                                      <w:sz w:val="15"/>
                                    </w:rPr>
                                    <w:t xml:space="preserve">investimenti sostenibili con un obiettivo sociale: </w:t>
                                  </w:r>
                                  <w:r>
                                    <w:rPr>
                                      <w:b/>
                                      <w:sz w:val="15"/>
                                    </w:rPr>
                                    <w:t xml:space="preserve"> %</w:t>
                                  </w:r>
                                </w:p>
                              </w:tc>
                              <w:tc>
                                <w:tcPr>
                                  <w:tcW w:w="4422" w:type="dxa"/>
                                  <w:tcBorders>
                                    <w:top w:val="single" w:sz="6" w:space="0" w:color="566B75"/>
                                    <w:left w:val="single" w:sz="6" w:space="0" w:color="566B75"/>
                                  </w:tcBorders>
                                </w:tcPr>
                                <w:p>
                                  <w:pPr>
                                    <w:pStyle w:val="TableParagraph"/>
                                    <w:spacing w:before="118" w:line="189" w:lineRule="auto"/>
                                    <w:ind w:left="442" w:hanging="302"/>
                                    <w:rPr>
                                      <w:sz w:val="16"/>
                                    </w:rPr>
                                  </w:pPr>
                                  <w:r>
                                    <w:rPr>
                                      <w:b/>
                                      <w:position w:val="-3"/>
                                      <w:sz w:val="18"/>
                                    </w:rPr>
                                    <w:t>X</w:t>
                                  </w:r>
                                  <w:r>
                                    <w:rPr>
                                      <w:b/>
                                      <w:sz w:val="15"/>
                                    </w:rPr>
                                    <w:t xml:space="preserve"> Promuove caratteristiche ambientali/sociali (E/S) </w:t>
                                  </w:r>
                                  <w:r>
                                    <w:rPr>
                                      <w:sz w:val="15"/>
                                    </w:rPr>
                                    <w:t>e, pur non avendo come</w:t>
                                  </w:r>
                                </w:p>
                                <w:p>
                                  <w:pPr>
                                    <w:pStyle w:val="TableParagraph"/>
                                    <w:spacing w:before="7"/>
                                    <w:ind w:left="442" w:right="659"/>
                                    <w:rPr>
                                      <w:sz w:val="16"/>
                                    </w:rPr>
                                  </w:pPr>
                                  <w:r>
                                    <w:rPr>
                                      <w:sz w:val="15"/>
                                    </w:rPr>
                                    <w:t>l’obiettivo di un investimento sostenibile, avrà una quota minima del 10% di investimenti sostenibili</w:t>
                                  </w:r>
                                </w:p>
                                <w:p>
                                  <w:pPr>
                                    <w:pStyle w:val="TableParagraph"/>
                                    <w:spacing w:before="180"/>
                                    <w:ind w:left="722" w:right="8"/>
                                    <w:rPr>
                                      <w:sz w:val="16"/>
                                    </w:rPr>
                                  </w:pPr>
                                  <w:r>
                                    <w:rPr>
                                      <w:sz w:val="15"/>
                                    </w:rPr>
                                    <w:t>con un obiettivo ambientale in attività economiche che rientrano nella categoria</w:t>
                                  </w:r>
                                </w:p>
                                <w:p>
                                  <w:pPr>
                                    <w:pStyle w:val="TableParagraph"/>
                                    <w:ind w:left="722" w:right="659"/>
                                    <w:rPr>
                                      <w:sz w:val="16"/>
                                    </w:rPr>
                                  </w:pPr>
                                  <w:r>
                                    <w:rPr>
                                      <w:sz w:val="15"/>
                                    </w:rPr>
                                    <w:t>sostenibili dal punto di vista ambientale secondo la Tassonomia dell’UE</w:t>
                                  </w:r>
                                </w:p>
                                <w:p>
                                  <w:pPr>
                                    <w:pStyle w:val="TableParagraph"/>
                                    <w:rPr>
                                      <w:b/>
                                      <w:sz w:val="16"/>
                                    </w:rPr>
                                  </w:pPr>
                                </w:p>
                                <w:p>
                                  <w:pPr>
                                    <w:pStyle w:val="TableParagraph"/>
                                    <w:spacing w:before="27"/>
                                    <w:rPr>
                                      <w:b/>
                                      <w:sz w:val="16"/>
                                    </w:rPr>
                                  </w:pPr>
                                </w:p>
                                <w:p>
                                  <w:pPr>
                                    <w:pStyle w:val="TableParagraph"/>
                                    <w:spacing w:before="1" w:line="189" w:lineRule="auto"/>
                                    <w:ind w:left="722" w:right="659" w:hanging="302"/>
                                    <w:rPr>
                                      <w:sz w:val="16"/>
                                    </w:rPr>
                                  </w:pPr>
                                  <w:r>
                                    <w:rPr>
                                      <w:b/>
                                      <w:position w:val="-3"/>
                                      <w:sz w:val="18"/>
                                    </w:rPr>
                                    <w:t>X</w:t>
                                  </w:r>
                                  <w:r>
                                    <w:rPr>
                                      <w:sz w:val="15"/>
                                    </w:rPr>
                                    <w:t xml:space="preserve"> con un obiettivo ambientale in attività economiche che non sono considerate</w:t>
                                  </w:r>
                                </w:p>
                                <w:p>
                                  <w:pPr>
                                    <w:pStyle w:val="TableParagraph"/>
                                    <w:spacing w:before="7"/>
                                    <w:ind w:left="722" w:right="659"/>
                                    <w:rPr>
                                      <w:sz w:val="16"/>
                                    </w:rPr>
                                  </w:pPr>
                                  <w:r>
                                    <w:rPr>
                                      <w:sz w:val="15"/>
                                    </w:rPr>
                                    <w:t>sostenibili dal punto di vista ambientale secondo la Tassonomia dell’UE</w:t>
                                  </w:r>
                                </w:p>
                                <w:p>
                                  <w:pPr>
                                    <w:pStyle w:val="TableParagraph"/>
                                    <w:spacing w:before="180"/>
                                    <w:rPr>
                                      <w:b/>
                                      <w:sz w:val="16"/>
                                    </w:rPr>
                                  </w:pPr>
                                </w:p>
                                <w:p>
                                  <w:pPr>
                                    <w:pStyle w:val="TableParagraph"/>
                                    <w:ind w:left="421"/>
                                    <w:rPr>
                                      <w:sz w:val="16"/>
                                    </w:rPr>
                                  </w:pPr>
                                  <w:r>
                                    <w:rPr>
                                      <w:b/>
                                      <w:position w:val="-3"/>
                                      <w:sz w:val="18"/>
                                    </w:rPr>
                                    <w:t>X</w:t>
                                  </w:r>
                                  <w:r>
                                    <w:rPr>
                                      <w:sz w:val="15"/>
                                    </w:rPr>
                                    <w:t xml:space="preserve"> con un obiettivo sociale</w:t>
                                  </w:r>
                                </w:p>
                                <w:p>
                                  <w:pPr>
                                    <w:pStyle w:val="TableParagraph"/>
                                    <w:rPr>
                                      <w:b/>
                                      <w:sz w:val="16"/>
                                    </w:rPr>
                                  </w:pPr>
                                </w:p>
                                <w:p>
                                  <w:pPr>
                                    <w:pStyle w:val="TableParagraph"/>
                                    <w:spacing w:before="179"/>
                                    <w:rPr>
                                      <w:b/>
                                      <w:sz w:val="16"/>
                                    </w:rPr>
                                  </w:pPr>
                                </w:p>
                                <w:p>
                                  <w:pPr>
                                    <w:pStyle w:val="TableParagraph"/>
                                    <w:spacing w:before="1"/>
                                    <w:ind w:left="442" w:right="659"/>
                                    <w:rPr>
                                      <w:b/>
                                      <w:sz w:val="16"/>
                                    </w:rPr>
                                  </w:pPr>
                                  <w:r>
                                    <w:rPr>
                                      <w:sz w:val="15"/>
                                    </w:rPr>
                                    <w:t xml:space="preserve">Promuove caratteristiche ambientali e sociali, ma </w:t>
                                  </w:r>
                                  <w:r>
                                    <w:rPr>
                                      <w:b/>
                                      <w:sz w:val="15"/>
                                    </w:rPr>
                                    <w:t>non effettuerà alcun investimento sostenibile</w:t>
                                  </w:r>
                                </w:p>
                              </w:tc>
                            </w:tr>
                          </w:tbl>
                          <w:p>
                            <w:pPr>
                              <w:pStyle w:val="BodyText"/>
                            </w:pPr>
                          </w:p>
                        </w:txbxContent>
                      </wps:txbx>
                      <wps:bodyPr wrap="square" lIns="0" tIns="0" rIns="0" bIns="0" rtlCol="0"/>
                    </wps:wsp>
                  </a:graphicData>
                </a:graphic>
              </wp:anchor>
            </w:drawing>
          </mc:Choice>
          <mc:Fallback>
            <w:pict>
              <v:shape id="_x0000_s1036" type="#_x0000_t202" style="width:438.6pt;height:332.5pt;margin-top:18.5pt;margin-left:128pt;mso-position-horizontal-relative:page;mso-wrap-distance-left:0;mso-wrap-distance-right:0;position:absolute;z-index:-251584512" filled="f" stroked="f">
                <v:textbox inset="0,0,0,0">
                  <w:txbxContent>
                    <w:tbl>
                      <w:tblPr>
                        <w:tblStyle w:val="TableNormal"/>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350"/>
                        <w:gridCol w:w="4422"/>
                      </w:tblGrid>
                      <w:tr>
                        <w:tblPrEx>
                          <w:tblW w:w="0" w:type="auto"/>
                          <w:tblInd w:w="7" w:type="dxa"/>
                          <w:tblLayout w:type="fixed"/>
                          <w:tblLook w:val="01E0"/>
                        </w:tblPrEx>
                        <w:trPr>
                          <w:trHeight w:val="660"/>
                        </w:trPr>
                        <w:tc>
                          <w:tcPr>
                            <w:tcW w:w="8772" w:type="dxa"/>
                            <w:gridSpan w:val="2"/>
                            <w:shd w:val="clear" w:color="auto" w:fill="EFEFEF"/>
                          </w:tcPr>
                          <w:p>
                            <w:pPr>
                              <w:pStyle w:val="TableParagraph"/>
                              <w:spacing w:before="114"/>
                              <w:rPr>
                                <w:b/>
                                <w:sz w:val="18"/>
                              </w:rPr>
                            </w:pPr>
                            <w:r>
                              <w:rPr>
                                <w:b/>
                                <w:sz w:val="18"/>
                              </w:rPr>
                              <w:t>Questo prodotto finanziario ha un obiettivo di investimento sostenibile?</w:t>
                            </w:r>
                          </w:p>
                        </w:tc>
                      </w:tr>
                      <w:tr>
                        <w:tblPrEx>
                          <w:tblW w:w="0" w:type="auto"/>
                          <w:tblInd w:w="7" w:type="dxa"/>
                          <w:tblLayout w:type="fixed"/>
                          <w:tblLook w:val="01E0"/>
                        </w:tblPrEx>
                        <w:trPr>
                          <w:trHeight w:val="442"/>
                        </w:trPr>
                        <w:tc>
                          <w:tcPr>
                            <w:tcW w:w="4350" w:type="dxa"/>
                            <w:tcBorders>
                              <w:bottom w:val="single" w:sz="6" w:space="0" w:color="566B75"/>
                              <w:right w:val="single" w:sz="6" w:space="0" w:color="566B75"/>
                            </w:tcBorders>
                            <w:shd w:val="clear" w:color="auto" w:fill="EFEFEF"/>
                          </w:tcPr>
                          <w:p>
                            <w:pPr>
                              <w:pStyle w:val="TableParagraph"/>
                              <w:spacing w:line="223" w:lineRule="exact"/>
                              <w:ind w:left="1400"/>
                              <w:rPr>
                                <w:b/>
                                <w:sz w:val="20"/>
                              </w:rPr>
                            </w:pPr>
                            <w:r>
                              <w:rPr>
                                <w:b/>
                                <w:spacing w:val="-5"/>
                                <w:sz w:val="20"/>
                              </w:rPr>
                              <w:t>Sì</w:t>
                            </w:r>
                          </w:p>
                        </w:tc>
                        <w:tc>
                          <w:tcPr>
                            <w:tcW w:w="4422" w:type="dxa"/>
                            <w:tcBorders>
                              <w:left w:val="single" w:sz="6" w:space="0" w:color="566B75"/>
                              <w:bottom w:val="single" w:sz="6" w:space="0" w:color="566B75"/>
                            </w:tcBorders>
                          </w:tcPr>
                          <w:p>
                            <w:pPr>
                              <w:pStyle w:val="TableParagraph"/>
                              <w:tabs>
                                <w:tab w:val="left" w:pos="1442"/>
                              </w:tabs>
                              <w:spacing w:line="223" w:lineRule="exact"/>
                              <w:ind w:left="1061"/>
                              <w:rPr>
                                <w:b/>
                                <w:sz w:val="20"/>
                              </w:rPr>
                            </w:pPr>
                            <w:r>
                              <w:rPr>
                                <w:b/>
                                <w:spacing w:val="-10"/>
                                <w:sz w:val="20"/>
                              </w:rPr>
                              <w:t>X</w:t>
                            </w:r>
                            <w:r>
                              <w:rPr>
                                <w:b/>
                                <w:sz w:val="20"/>
                              </w:rPr>
                              <w:tab/>
                            </w:r>
                            <w:r>
                              <w:rPr>
                                <w:b/>
                                <w:spacing w:val="-5"/>
                                <w:sz w:val="20"/>
                              </w:rPr>
                              <w:t>No</w:t>
                            </w:r>
                          </w:p>
                        </w:tc>
                      </w:tr>
                      <w:tr>
                        <w:tblPrEx>
                          <w:tblW w:w="0" w:type="auto"/>
                          <w:tblInd w:w="7" w:type="dxa"/>
                          <w:tblLayout w:type="fixed"/>
                          <w:tblLook w:val="01E0"/>
                        </w:tblPrEx>
                        <w:trPr>
                          <w:trHeight w:val="5532"/>
                        </w:trPr>
                        <w:tc>
                          <w:tcPr>
                            <w:tcW w:w="4350" w:type="dxa"/>
                            <w:tcBorders>
                              <w:top w:val="single" w:sz="6" w:space="0" w:color="566B75"/>
                              <w:right w:val="single" w:sz="6" w:space="0" w:color="566B75"/>
                            </w:tcBorders>
                            <w:shd w:val="clear" w:color="auto" w:fill="EFEFEF"/>
                          </w:tcPr>
                          <w:p>
                            <w:pPr>
                              <w:pStyle w:val="TableParagraph"/>
                              <w:spacing w:before="87"/>
                              <w:ind w:left="400" w:right="1414"/>
                              <w:rPr>
                                <w:sz w:val="16"/>
                              </w:rPr>
                            </w:pPr>
                            <w:r>
                              <w:rPr>
                                <w:sz w:val="16"/>
                              </w:rPr>
                              <w:t xml:space="preserve">Effettuerà un numero minimo di </w:t>
                            </w:r>
                            <w:r>
                              <w:rPr>
                                <w:b/>
                                <w:sz w:val="16"/>
                              </w:rPr>
                              <w:t xml:space="preserve">investimenti sostenibili con un obiettivo ambientale: </w:t>
                            </w:r>
                            <w:r>
                              <w:rPr>
                                <w:sz w:val="16"/>
                              </w:rPr>
                              <w:t xml:space="preserve"> %</w:t>
                            </w:r>
                          </w:p>
                          <w:p>
                            <w:pPr>
                              <w:pStyle w:val="TableParagraph"/>
                              <w:rPr>
                                <w:b/>
                                <w:sz w:val="16"/>
                              </w:rPr>
                            </w:pPr>
                          </w:p>
                          <w:p>
                            <w:pPr>
                              <w:pStyle w:val="TableParagraph"/>
                              <w:spacing w:before="180"/>
                              <w:rPr>
                                <w:b/>
                                <w:sz w:val="16"/>
                              </w:rPr>
                            </w:pPr>
                          </w:p>
                          <w:p>
                            <w:pPr>
                              <w:pStyle w:val="TableParagraph"/>
                              <w:ind w:left="680" w:right="1819"/>
                              <w:jc w:val="both"/>
                              <w:rPr>
                                <w:sz w:val="16"/>
                              </w:rPr>
                            </w:pPr>
                            <w:r>
                              <w:rPr>
                                <w:sz w:val="16"/>
                              </w:rPr>
                              <w:t>in attività economiche che rientrano nella classificazione di sostenibilità ambientale secondo la tassonomia dell’UE</w:t>
                            </w:r>
                          </w:p>
                          <w:p>
                            <w:pPr>
                              <w:pStyle w:val="TableParagraph"/>
                              <w:spacing w:before="180"/>
                              <w:rPr>
                                <w:b/>
                                <w:sz w:val="16"/>
                              </w:rPr>
                            </w:pPr>
                          </w:p>
                          <w:p>
                            <w:pPr>
                              <w:pStyle w:val="TableParagraph"/>
                              <w:ind w:left="680" w:right="1414"/>
                              <w:rPr>
                                <w:sz w:val="16"/>
                              </w:rPr>
                            </w:pPr>
                            <w:r>
                              <w:rPr>
                                <w:sz w:val="16"/>
                              </w:rPr>
                              <w:t>in attività economiche che non sono considerate sostenibili dal punto di vista ambientale secondo la tassonomia dell’UE</w:t>
                            </w:r>
                          </w:p>
                          <w:p>
                            <w:pPr>
                              <w:pStyle w:val="TableParagraph"/>
                              <w:rPr>
                                <w:b/>
                                <w:sz w:val="16"/>
                              </w:rPr>
                            </w:pPr>
                          </w:p>
                          <w:p>
                            <w:pPr>
                              <w:pStyle w:val="TableParagraph"/>
                              <w:rPr>
                                <w:b/>
                                <w:sz w:val="16"/>
                              </w:rPr>
                            </w:pPr>
                          </w:p>
                          <w:p>
                            <w:pPr>
                              <w:pStyle w:val="TableParagraph"/>
                              <w:rPr>
                                <w:b/>
                                <w:sz w:val="16"/>
                              </w:rPr>
                            </w:pPr>
                          </w:p>
                          <w:p>
                            <w:pPr>
                              <w:pStyle w:val="TableParagraph"/>
                              <w:rPr>
                                <w:b/>
                                <w:sz w:val="16"/>
                              </w:rPr>
                            </w:pPr>
                          </w:p>
                          <w:p>
                            <w:pPr>
                              <w:pStyle w:val="TableParagraph"/>
                              <w:rPr>
                                <w:b/>
                                <w:sz w:val="16"/>
                              </w:rPr>
                            </w:pPr>
                          </w:p>
                          <w:p>
                            <w:pPr>
                              <w:pStyle w:val="TableParagraph"/>
                              <w:spacing w:before="40"/>
                              <w:rPr>
                                <w:b/>
                                <w:sz w:val="16"/>
                              </w:rPr>
                            </w:pPr>
                          </w:p>
                          <w:p>
                            <w:pPr>
                              <w:pStyle w:val="TableParagraph"/>
                              <w:ind w:left="360" w:right="1414"/>
                              <w:rPr>
                                <w:b/>
                                <w:sz w:val="16"/>
                              </w:rPr>
                            </w:pPr>
                            <w:r>
                              <w:rPr>
                                <w:sz w:val="16"/>
                              </w:rPr>
                              <w:t xml:space="preserve">Effettuerà una quota minima di </w:t>
                            </w:r>
                            <w:r>
                              <w:rPr>
                                <w:b/>
                                <w:sz w:val="16"/>
                              </w:rPr>
                              <w:t xml:space="preserve">investimenti sostenibili con un obiettivo sociale: </w:t>
                            </w:r>
                            <w:r>
                              <w:rPr>
                                <w:b/>
                                <w:sz w:val="16"/>
                              </w:rPr>
                              <w:t xml:space="preserve"> %</w:t>
                            </w:r>
                          </w:p>
                        </w:tc>
                        <w:tc>
                          <w:tcPr>
                            <w:tcW w:w="4422" w:type="dxa"/>
                            <w:tcBorders>
                              <w:top w:val="single" w:sz="6" w:space="0" w:color="566B75"/>
                              <w:left w:val="single" w:sz="6" w:space="0" w:color="566B75"/>
                            </w:tcBorders>
                          </w:tcPr>
                          <w:p>
                            <w:pPr>
                              <w:pStyle w:val="TableParagraph"/>
                              <w:spacing w:before="118" w:line="189" w:lineRule="auto"/>
                              <w:ind w:left="442" w:hanging="302"/>
                              <w:rPr>
                                <w:sz w:val="16"/>
                              </w:rPr>
                            </w:pPr>
                            <w:r>
                              <w:rPr>
                                <w:b/>
                                <w:position w:val="-3"/>
                                <w:sz w:val="20"/>
                              </w:rPr>
                              <w:t>X</w:t>
                            </w:r>
                            <w:r>
                              <w:rPr>
                                <w:b/>
                                <w:sz w:val="16"/>
                              </w:rPr>
                              <w:t xml:space="preserve"> Promuove caratteristiche ambientali/sociali (E/S) </w:t>
                            </w:r>
                            <w:r>
                              <w:rPr>
                                <w:sz w:val="16"/>
                              </w:rPr>
                              <w:t>e, pur non avendo come</w:t>
                            </w:r>
                          </w:p>
                          <w:p>
                            <w:pPr>
                              <w:pStyle w:val="TableParagraph"/>
                              <w:spacing w:before="7"/>
                              <w:ind w:left="442" w:right="659"/>
                              <w:rPr>
                                <w:sz w:val="16"/>
                              </w:rPr>
                            </w:pPr>
                            <w:r>
                              <w:rPr>
                                <w:sz w:val="16"/>
                              </w:rPr>
                              <w:t>l’obiettivo di un investimento sostenibile, avrà una quota minima del 10% di investimenti sostenibili</w:t>
                            </w:r>
                          </w:p>
                          <w:p>
                            <w:pPr>
                              <w:pStyle w:val="TableParagraph"/>
                              <w:spacing w:before="180"/>
                              <w:ind w:left="722" w:right="8"/>
                              <w:rPr>
                                <w:sz w:val="16"/>
                              </w:rPr>
                            </w:pPr>
                            <w:r>
                              <w:rPr>
                                <w:sz w:val="16"/>
                              </w:rPr>
                              <w:t>con un obiettivo ambientale in attività economiche che rientrano nella categoria</w:t>
                            </w:r>
                          </w:p>
                          <w:p>
                            <w:pPr>
                              <w:pStyle w:val="TableParagraph"/>
                              <w:ind w:left="722" w:right="659"/>
                              <w:rPr>
                                <w:sz w:val="16"/>
                              </w:rPr>
                            </w:pPr>
                            <w:r>
                              <w:rPr>
                                <w:sz w:val="16"/>
                              </w:rPr>
                              <w:t>sostenibili dal punto di vista ambientale secondo la Tassonomia dell’UE</w:t>
                            </w:r>
                          </w:p>
                          <w:p>
                            <w:pPr>
                              <w:pStyle w:val="TableParagraph"/>
                              <w:rPr>
                                <w:b/>
                                <w:sz w:val="16"/>
                              </w:rPr>
                            </w:pPr>
                          </w:p>
                          <w:p>
                            <w:pPr>
                              <w:pStyle w:val="TableParagraph"/>
                              <w:spacing w:before="27"/>
                              <w:rPr>
                                <w:b/>
                                <w:sz w:val="16"/>
                              </w:rPr>
                            </w:pPr>
                          </w:p>
                          <w:p>
                            <w:pPr>
                              <w:pStyle w:val="TableParagraph"/>
                              <w:spacing w:before="1" w:line="189" w:lineRule="auto"/>
                              <w:ind w:left="722" w:right="659" w:hanging="302"/>
                              <w:rPr>
                                <w:sz w:val="16"/>
                              </w:rPr>
                            </w:pPr>
                            <w:r>
                              <w:rPr>
                                <w:b/>
                                <w:position w:val="-3"/>
                                <w:sz w:val="20"/>
                              </w:rPr>
                              <w:t>X</w:t>
                            </w:r>
                            <w:r>
                              <w:rPr>
                                <w:sz w:val="16"/>
                              </w:rPr>
                              <w:t xml:space="preserve"> con un obiettivo ambientale in attività economiche che non sono considerate</w:t>
                            </w:r>
                          </w:p>
                          <w:p>
                            <w:pPr>
                              <w:pStyle w:val="TableParagraph"/>
                              <w:spacing w:before="7"/>
                              <w:ind w:left="722" w:right="659"/>
                              <w:rPr>
                                <w:sz w:val="16"/>
                              </w:rPr>
                            </w:pPr>
                            <w:r>
                              <w:rPr>
                                <w:sz w:val="16"/>
                              </w:rPr>
                              <w:t>sostenibili dal punto di vista ambientale secondo la Tassonomia dell’UE</w:t>
                            </w:r>
                          </w:p>
                          <w:p>
                            <w:pPr>
                              <w:pStyle w:val="TableParagraph"/>
                              <w:spacing w:before="180"/>
                              <w:rPr>
                                <w:b/>
                                <w:sz w:val="16"/>
                              </w:rPr>
                            </w:pPr>
                          </w:p>
                          <w:p>
                            <w:pPr>
                              <w:pStyle w:val="TableParagraph"/>
                              <w:ind w:left="421"/>
                              <w:rPr>
                                <w:sz w:val="16"/>
                              </w:rPr>
                            </w:pPr>
                            <w:r>
                              <w:rPr>
                                <w:b/>
                                <w:position w:val="-3"/>
                                <w:sz w:val="20"/>
                              </w:rPr>
                              <w:t>X</w:t>
                            </w:r>
                            <w:r>
                              <w:rPr>
                                <w:sz w:val="16"/>
                              </w:rPr>
                              <w:t xml:space="preserve"> con un obiettivo sociale</w:t>
                            </w:r>
                          </w:p>
                          <w:p>
                            <w:pPr>
                              <w:pStyle w:val="TableParagraph"/>
                              <w:rPr>
                                <w:b/>
                                <w:sz w:val="16"/>
                              </w:rPr>
                            </w:pPr>
                          </w:p>
                          <w:p>
                            <w:pPr>
                              <w:pStyle w:val="TableParagraph"/>
                              <w:spacing w:before="179"/>
                              <w:rPr>
                                <w:b/>
                                <w:sz w:val="16"/>
                              </w:rPr>
                            </w:pPr>
                          </w:p>
                          <w:p>
                            <w:pPr>
                              <w:pStyle w:val="TableParagraph"/>
                              <w:spacing w:before="1"/>
                              <w:ind w:left="442" w:right="659"/>
                              <w:rPr>
                                <w:b/>
                                <w:sz w:val="16"/>
                              </w:rPr>
                            </w:pPr>
                            <w:r>
                              <w:rPr>
                                <w:sz w:val="16"/>
                              </w:rPr>
                              <w:t xml:space="preserve">Promuove caratteristiche ambientali e sociali, ma </w:t>
                            </w:r>
                            <w:r>
                              <w:rPr>
                                <w:b/>
                                <w:sz w:val="16"/>
                              </w:rPr>
                              <w:t>non effettuerà alcun investimento sostenibile</w:t>
                            </w:r>
                          </w:p>
                        </w:tc>
                      </w:tr>
                    </w:tbl>
                    <w:p>
                      <w:pPr>
                        <w:pStyle w:val="BodyText"/>
                      </w:pPr>
                    </w:p>
                  </w:txbxContent>
                </v:textbox>
                <w10:wrap type="topAndBottom"/>
              </v:shape>
            </w:pict>
          </mc:Fallback>
        </mc:AlternateContent>
      </w:r>
    </w:p>
    <w:p>
      <w:pPr>
        <w:pStyle w:val="BodyText"/>
        <w:spacing w:after="0"/>
        <w:rPr>
          <w:b/>
          <w:sz w:val="20"/>
        </w:rPr>
        <w:sectPr>
          <w:type w:val="continuous"/>
          <w:pgSz w:w="11910" w:h="16840"/>
          <w:pgMar w:top="840" w:right="566" w:bottom="280" w:left="425" w:header="708" w:footer="708"/>
          <w:cols w:space="708"/>
        </w:sectPr>
      </w:pPr>
    </w:p>
    <w:p>
      <w:pPr>
        <w:pStyle w:val="BodyText"/>
        <w:spacing w:before="7" w:line="259" w:lineRule="auto"/>
        <w:ind w:left="2135" w:right="839" w:hanging="2000"/>
      </w:pPr>
      <w:r>
        <mc:AlternateContent>
          <mc:Choice Requires="wps">
            <w:drawing>
              <wp:anchor distT="0" distB="0" distL="0" distR="0" simplePos="0" relativeHeight="251710464" behindDoc="1" locked="0" layoutInCell="1" allowOverlap="1">
                <wp:simplePos x="0" y="0"/>
                <wp:positionH relativeFrom="page">
                  <wp:posOffset>1625600</wp:posOffset>
                </wp:positionH>
                <wp:positionV relativeFrom="paragraph">
                  <wp:posOffset>4444</wp:posOffset>
                </wp:positionV>
                <wp:extent cx="5570220" cy="234950"/>
                <wp:effectExtent l="0" t="0" r="0" b="0"/>
                <wp:wrapNone/>
                <wp:docPr id="17" name="Textbox 17"/>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Quali caratteristiche ambientali e/o sociali vengono promosse da questo prodotto finanziario?</w:t>
                            </w:r>
                          </w:p>
                        </w:txbxContent>
                      </wps:txbx>
                      <wps:bodyPr wrap="square" lIns="0" tIns="0" rIns="0" bIns="0" rtlCol="0"/>
                    </wps:wsp>
                  </a:graphicData>
                </a:graphic>
              </wp:anchor>
            </w:drawing>
          </mc:Choice>
          <mc:Fallback>
            <w:pict>
              <v:shape id="_x0000_s1037" type="#_x0000_t202" style="width:438.6pt;height:18.5pt;margin-top:0.35pt;margin-left:128pt;mso-position-horizontal-relative:page;position:absolute;z-index:-251604992" filled="t" fillcolor="#efefef" stroked="f">
                <v:fill type="solid"/>
                <v:textbox inset="0,0,0,0">
                  <w:txbxContent>
                    <w:p>
                      <w:pPr>
                        <w:pStyle w:val="BodyText"/>
                        <w:spacing w:line="201" w:lineRule="exact"/>
                      </w:pPr>
                      <w:r>
                        <w:t>Quali caratteristiche ambientali e/o sociali vengono promosse da questo prodotto finanziario?</w:t>
                      </w:r>
                    </w:p>
                  </w:txbxContent>
                </v:textbox>
              </v:shape>
            </w:pict>
          </mc:Fallback>
        </mc:AlternateContent>
      </w:r>
      <w:r>
        <w:rPr>
          <w:position w:val="-4"/>
        </w:rPr>
        <w:drawing>
          <wp:inline distT="0" distB="0" distL="0" distR="0">
            <wp:extent cx="1155700" cy="406400"/>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xmlns:r="http://schemas.openxmlformats.org/officeDocument/2006/relationships" r:embed="rId6" cstate="print"/>
                    <a:stretch>
                      <a:fillRect/>
                    </a:stretch>
                  </pic:blipFill>
                  <pic:spPr>
                    <a:xfrm>
                      <a:off x="0" y="0"/>
                      <a:ext cx="1155700" cy="406400"/>
                    </a:xfrm>
                    <a:prstGeom prst="rect">
                      <a:avLst/>
                    </a:prstGeom>
                  </pic:spPr>
                </pic:pic>
              </a:graphicData>
            </a:graphic>
          </wp:inline>
        </w:drawing>
      </w:r>
      <w:r>
        <w:rPr>
          <w:rFonts w:ascii="Times New Roman" w:hAnsi="Times New Roman"/>
          <w:sz w:val="18"/>
        </w:rPr>
        <w:t xml:space="preserve"> </w:t>
      </w:r>
      <w:r>
        <w:rPr>
          <w:sz w:val="16"/>
        </w:rPr>
        <w:t>Il prodotto finanziario promuove caratteristiche ambientali e sociali e si qualifica come prodotto finanziario soggetto all’articolo 8, paragrafo 1, del SFDR replicando l’Indice di Riferimento (come definito di seguito) che include considerazioni ambientali e/o sociali. Il prodotto finanziario detiene un portafoglio di titoli azionari che comprende tutti, o un numero sostanziale, dei titoli inclusi nell’Indice di Riferimento. L’Indice di Riferimento è concepito per riflettere la performance ponderata in modo equo delle azioni di società a grande capitalizzazione che rappresentano tutti i principali settori industriali statunitensi e che soddisfano determinati criteri ambientali, sociali e di governance (“ESG”).</w:t>
      </w:r>
    </w:p>
    <w:p>
      <w:pPr>
        <w:pStyle w:val="BodyText"/>
      </w:pPr>
    </w:p>
    <w:p>
      <w:pPr>
        <w:pStyle w:val="BodyText"/>
        <w:spacing w:line="264" w:lineRule="auto"/>
        <w:ind w:left="2135" w:right="629"/>
      </w:pPr>
      <w:r>
        <w:rPr>
          <w:sz w:val="16"/>
        </w:rPr>
        <w:t>L’Indice di Riferimento esclude dall’Indice Principale (come definito di seguito) le società che non soddisfano specifici criteri ESG, inclusi, a titolo esemplificativo ma non esaustivo:</w:t>
      </w:r>
    </w:p>
    <w:p>
      <w:pPr>
        <w:pStyle w:val="BodyText"/>
        <w:spacing w:before="19"/>
      </w:pPr>
    </w:p>
    <w:p>
      <w:pPr>
        <w:pStyle w:val="ListParagraph"/>
        <w:numPr>
          <w:ilvl w:val="0"/>
          <w:numId w:val="4"/>
        </w:numPr>
        <w:tabs>
          <w:tab w:val="left" w:pos="2244"/>
        </w:tabs>
        <w:spacing w:before="0" w:after="0" w:line="264" w:lineRule="auto"/>
        <w:ind w:left="2135" w:right="689" w:firstLine="0"/>
        <w:jc w:val="left"/>
        <w:rPr>
          <w:sz w:val="18"/>
        </w:rPr>
      </w:pPr>
      <w:r>
        <w:rPr>
          <w:sz w:val="16"/>
        </w:rPr>
        <w:t>quelle che non dispongono di un punteggio ESG di S&amp;P Global, o con un punteggio ESG di S&amp;P Global che rientra nel 25% peggiore dei punteggi ESG di ciascun gruppo settoriale GICS, come calcolato da S&amp;P Global Sustainable1 (</w:t>
      </w:r>
      <w:r>
        <w:rPr>
          <w:sz w:val="16"/>
        </w:rPr>
        <w:t>“Sustainable1”) utilizzando la “Valutazione di sostenibilità aziendale” (</w:t>
      </w:r>
      <w:r>
        <w:rPr>
          <w:sz w:val="16"/>
        </w:rPr>
        <w:t>“CSA”) di una società, derivata da dati forniti dalla società stessa, da informazioni disponibili al pubblico o da una combinazione di entrambi;</w:t>
      </w:r>
    </w:p>
    <w:p>
      <w:pPr>
        <w:pStyle w:val="ListParagraph"/>
        <w:numPr>
          <w:ilvl w:val="0"/>
          <w:numId w:val="4"/>
        </w:numPr>
        <w:tabs>
          <w:tab w:val="left" w:pos="2238"/>
        </w:tabs>
        <w:spacing w:before="0" w:after="0" w:line="264" w:lineRule="auto"/>
        <w:ind w:left="2135" w:right="686" w:firstLine="0"/>
        <w:jc w:val="left"/>
        <w:rPr>
          <w:sz w:val="18"/>
        </w:rPr>
      </w:pPr>
      <w:r>
        <w:rPr>
          <w:sz w:val="16"/>
        </w:rPr>
        <w:t>che siano classificate dagli S&amp;P Global Business Involvement Screens come società che superano determinate soglie relative ad attività controverse, tra cui, a titolo esemplificativo ma non esaustivo, tabacco, armi controverse e carbone termico; e/o</w:t>
      </w:r>
    </w:p>
    <w:p>
      <w:pPr>
        <w:pStyle w:val="ListParagraph"/>
        <w:numPr>
          <w:ilvl w:val="0"/>
          <w:numId w:val="4"/>
        </w:numPr>
        <w:tabs>
          <w:tab w:val="left" w:pos="2248"/>
        </w:tabs>
        <w:spacing w:before="0" w:after="0" w:line="264" w:lineRule="auto"/>
        <w:ind w:left="2135" w:right="715" w:firstLine="0"/>
        <w:jc w:val="both"/>
        <w:rPr>
          <w:sz w:val="18"/>
        </w:rPr>
      </w:pPr>
      <w:r>
        <w:rPr>
          <w:sz w:val="16"/>
        </w:rPr>
        <w:t xml:space="preserve">Presentano un </w:t>
      </w:r>
      <w:r>
        <w:rPr>
          <w:sz w:val="16"/>
        </w:rPr>
        <w:t xml:space="preserve">punteggio </w:t>
      </w:r>
      <w:r>
        <w:rPr>
          <w:sz w:val="16"/>
        </w:rPr>
        <w:t>di esclusione relativo al Global Compact delle Nazioni Unite (</w:t>
      </w:r>
      <w:r>
        <w:rPr>
          <w:sz w:val="16"/>
        </w:rPr>
        <w:t>“UNGC”) (ovvero società che non agiscono in conformità con i principi dell’UNGC e con gli standard, le convenzioni e i trattati ad essi associati, come determinato da Sustainalytics).</w:t>
      </w:r>
    </w:p>
    <w:p>
      <w:pPr>
        <w:pStyle w:val="BodyText"/>
        <w:spacing w:before="13"/>
      </w:pPr>
    </w:p>
    <w:p>
      <w:pPr>
        <w:pStyle w:val="BodyText"/>
        <w:spacing w:line="264" w:lineRule="auto"/>
        <w:ind w:left="2135" w:right="629"/>
      </w:pPr>
      <w:r>
        <w:rPr>
          <w:sz w:val="16"/>
        </w:rPr>
        <w:t>L’Indice di Riferimento utilizza i rating aziendali e le ricerche fornite da Sustainable1, una divisione aziendale di S&amp;P Global specializzata nella fornitura di analisi approfondite in materia di sostenibilità. In particolare, vengono utilizzate le seguenti due componenti:</w:t>
      </w:r>
    </w:p>
    <w:p>
      <w:pPr>
        <w:pStyle w:val="BodyText"/>
        <w:spacing w:before="18"/>
      </w:pPr>
    </w:p>
    <w:p>
      <w:pPr>
        <w:spacing w:before="0"/>
        <w:ind w:left="2135" w:right="0" w:firstLine="0"/>
        <w:jc w:val="left"/>
        <w:rPr>
          <w:i/>
          <w:sz w:val="18"/>
        </w:rPr>
      </w:pPr>
      <w:r>
        <w:rPr>
          <w:i/>
          <w:sz w:val="16"/>
        </w:rPr>
        <w:t>Punteggi ESG di S&amp;P Global</w:t>
      </w:r>
    </w:p>
    <w:p>
      <w:pPr>
        <w:pStyle w:val="BodyText"/>
        <w:spacing w:before="40"/>
        <w:rPr>
          <w:i/>
        </w:rPr>
      </w:pPr>
    </w:p>
    <w:p>
      <w:pPr>
        <w:pStyle w:val="BodyText"/>
        <w:spacing w:line="264" w:lineRule="auto"/>
        <w:ind w:left="2135" w:right="629"/>
      </w:pPr>
      <w:r>
        <w:rPr>
          <w:sz w:val="16"/>
        </w:rPr>
        <w:t>I punteggi ESG di S&amp;P Global forniscono ricerche e rating che misurano le prestazioni di un’azienda e la sua gestione dei rischi e delle opportunità ambientali, sociali e di governance. I punteggi ESG di S&amp;P Global forniscono un rating ESG complessivo dell’azienda. Per maggiori dettagli sui punteggi ESG di S&amp;P Global, si prega di fare riferimento a: Sustainable1 Solutions: Punteggi ESG | S&amp;P Global (spglobal.com)</w:t>
      </w:r>
    </w:p>
    <w:p>
      <w:pPr>
        <w:pStyle w:val="BodyText"/>
        <w:spacing w:before="17"/>
      </w:pPr>
    </w:p>
    <w:p>
      <w:pPr>
        <w:spacing w:before="1"/>
        <w:ind w:left="2135" w:right="0" w:firstLine="0"/>
        <w:jc w:val="left"/>
        <w:rPr>
          <w:i/>
          <w:sz w:val="18"/>
        </w:rPr>
      </w:pPr>
      <w:r>
        <w:rPr>
          <w:i/>
          <w:sz w:val="16"/>
        </w:rPr>
        <w:t>S&amp;P Global Business Involvement Screens</w:t>
      </w:r>
    </w:p>
    <w:p>
      <w:pPr>
        <w:pStyle w:val="BodyText"/>
        <w:spacing w:before="39"/>
        <w:rPr>
          <w:i/>
        </w:rPr>
      </w:pPr>
    </w:p>
    <w:p>
      <w:pPr>
        <w:pStyle w:val="BodyText"/>
        <w:spacing w:before="1" w:line="264" w:lineRule="auto"/>
        <w:ind w:left="2135" w:right="629"/>
      </w:pPr>
      <w:r>
        <w:rPr>
          <w:sz w:val="16"/>
        </w:rPr>
        <w:t>Gli S&amp;P Global Business Involvement Screens mirano a consentire agli investitori di allineare i propri valori di investimento alla strategia di investimento, fornendo valutazioni dettagliate su aree di interesse comuni e individuando il livello di coinvolgimento. Per maggiori dettagli sugli S&amp;P Global Business Involvement Screens, si prega di consultare: Sustainable1 Solutions: Business Involvement Screens | S&amp;P Global (spglobal.com)</w:t>
      </w:r>
    </w:p>
    <w:p>
      <w:pPr>
        <w:pStyle w:val="BodyText"/>
        <w:spacing w:before="17"/>
      </w:pPr>
    </w:p>
    <w:p>
      <w:pPr>
        <w:pStyle w:val="BodyText"/>
        <w:spacing w:line="264" w:lineRule="auto"/>
        <w:ind w:left="2135" w:right="629"/>
      </w:pPr>
      <w:r>
        <w:rPr>
          <w:sz w:val="16"/>
        </w:rPr>
        <w:t xml:space="preserve">Sustainalytics, una società del gruppo Morningstar, è una delle principali società indipendenti di ricerca, rating e analisi in materia di ESG e governance aziendale che supporta gli investitori di tutto il mondo nello sviluppo e nell’attuazione di strategie di investimento responsabile. Le società non coperte da Sustainalytics non sono idonee all’inclusione nell’indice fino a quando non ricevono tale copertura. </w:t>
      </w:r>
      <w:r>
        <w:rPr>
          <w:sz w:val="16"/>
        </w:rPr>
        <w:t>Per ulteriori informazioni</w:t>
      </w:r>
      <w:r>
        <w:rPr>
          <w:sz w:val="16"/>
        </w:rPr>
        <w:t>, consultare</w:t>
      </w:r>
      <w:hyperlink r:id="rId7">
        <w:r>
          <w:rPr>
            <w:sz w:val="16"/>
          </w:rPr>
          <w:t xml:space="preserve"> http://www.sustainalytics.com/</w:t>
        </w:r>
      </w:hyperlink>
      <w:r>
        <w:rPr>
          <w:sz w:val="16"/>
        </w:rPr>
        <w:t>.</w:t>
      </w:r>
    </w:p>
    <w:p>
      <w:pPr>
        <w:pStyle w:val="BodyText"/>
        <w:spacing w:before="16"/>
      </w:pPr>
    </w:p>
    <w:p>
      <w:pPr>
        <w:pStyle w:val="BodyText"/>
        <w:spacing w:line="264" w:lineRule="auto"/>
        <w:ind w:left="2135" w:right="839"/>
      </w:pPr>
      <w:r>
        <w:rPr>
          <w:sz w:val="16"/>
        </w:rPr>
        <w:t>Inoltre, l’Indice di Riferimento si avvale di RepRisk, una società leader nel campo della scienza dei dati, per il filtraggio, lo screening e l’analisi quotidiani degli incidenti di rischio ESG e delle attività controverse relative alle società, che potrebbero comportare ulteriori esclusioni di società dall’Indice di Riferimento, secondo quanto stabilito dall’Amministratore dell’Indice</w:t>
      </w:r>
      <w:r>
        <w:rPr>
          <w:sz w:val="16"/>
        </w:rPr>
        <w:t>. Per ulteriori informazioni</w:t>
      </w:r>
      <w:r>
        <w:rPr>
          <w:sz w:val="16"/>
        </w:rPr>
        <w:t>, consultare</w:t>
      </w:r>
      <w:hyperlink r:id="rId8">
        <w:r>
          <w:rPr>
            <w:sz w:val="16"/>
          </w:rPr>
          <w:t xml:space="preserve"> http://www.reprisk.com/</w:t>
        </w:r>
      </w:hyperlink>
      <w:r>
        <w:rPr>
          <w:sz w:val="16"/>
        </w:rPr>
        <w:t>.</w:t>
      </w:r>
    </w:p>
    <w:p>
      <w:pPr>
        <w:pStyle w:val="BodyText"/>
        <w:spacing w:before="68"/>
      </w:pPr>
    </w:p>
    <w:p>
      <w:pPr>
        <w:pStyle w:val="BodyText"/>
        <w:spacing w:line="264" w:lineRule="auto"/>
        <w:ind w:left="2134" w:right="689"/>
      </w:pPr>
      <w:r>
        <w:rPr>
          <w:sz w:val="16"/>
        </w:rPr>
        <w:t>Una volta escluse le società costituenti, per ciascun gruppo settoriale GICS® vengono selezionate le società in ordine decrescente in base al punteggio ESG di S&amp;P Global, fino a raggiungere il 50% del numero di società costituenti dell’Indice principale all’interno del gruppo settoriale. Successivamente, per ciascun gruppo settoriale GICS®, vengono selezionati i componenti esistenti classificati tra il 50% e il 70% del numero di componenti di quel gruppo settoriale GICS®, al fine di avvicinarsi il più possibile all’obiettivo del 60% del numero di componenti dell’Indice Principale. Se il numero di società selezionate non supera l’obiettivo del 60%, è possibile aggiungere società non ancora selezionate dall’universo ammissibile, in ordine decrescente in base al punteggio S&amp;P Global ESG, per avvicinarsi il più possibile all’obiettivo del 60%. Questo processo termina quando l’aggiunta della successiva società ammissibile comporterebbe un ulteriore allontanamento del numero totale dei componenti del relativo gruppo settoriale GICS® dall’obiettivo del 60%.</w:t>
      </w:r>
    </w:p>
    <w:p>
      <w:pPr>
        <w:pStyle w:val="BodyText"/>
        <w:spacing w:after="0" w:line="264" w:lineRule="auto"/>
        <w:sectPr>
          <w:pgSz w:w="11910" w:h="16840"/>
          <w:pgMar w:top="700" w:right="566" w:bottom="280" w:left="425" w:header="708" w:footer="708"/>
          <w:cols w:space="708"/>
        </w:sectPr>
      </w:pPr>
    </w:p>
    <w:p>
      <w:pPr>
        <w:spacing w:line="240" w:lineRule="auto"/>
        <w:ind w:left="2135" w:right="-44" w:firstLine="0"/>
        <w:rPr>
          <w:sz w:val="20"/>
        </w:rPr>
      </w:pPr>
      <w:r>
        <w:rPr>
          <w:sz w:val="20"/>
        </w:rPr>
        <mc:AlternateContent>
          <mc:Choice Requires="wps">
            <w:drawing>
              <wp:inline distT="0" distB="0" distL="0" distR="0">
                <wp:extent cx="5570220" cy="307340"/>
                <wp:effectExtent l="0" t="0" r="0" b="0"/>
                <wp:docPr id="19" name="Textbox 19"/>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Quali indicatori di sostenibilità vengono utilizzati per misurare il raggiungimento di ciascuna delle caratteristiche ambientali o sociali promosse da questo prodotto finanziario?</w:t>
                            </w:r>
                          </w:p>
                        </w:txbxContent>
                      </wps:txbx>
                      <wps:bodyPr wrap="square" lIns="0" tIns="0" rIns="0" bIns="0" rtlCol="0"/>
                    </wps:wsp>
                  </a:graphicData>
                </a:graphic>
              </wp:inline>
            </w:drawing>
          </mc:Choice>
          <mc:Fallback>
            <w:pict>
              <v:shape id="_x0000_i1038" type="#_x0000_t202" style="width:438.6pt;height:24.2pt;mso-position-horizontal-relative:char;mso-position-vertical-relative:line" filled="t" fillcolor="#efefef" stroked="f">
                <v:fill type="solid"/>
                <v:textbox inset="0,0,0,0">
                  <w:txbxContent>
                    <w:p>
                      <w:pPr>
                        <w:pStyle w:val="BodyText"/>
                        <w:spacing w:line="264" w:lineRule="auto"/>
                        <w:ind w:right="629"/>
                      </w:pPr>
                      <w:r>
                        <w:t>Quali indicatori di sostenibilità vengono utilizzati per misurare il raggiungimento di ciascuna delle caratteristiche ambientali o sociali promosse da questo prodotto finanziario?</w:t>
                      </w:r>
                    </w:p>
                  </w:txbxContent>
                </v:textbox>
                <w10:anchorlock/>
              </v:shape>
            </w:pict>
          </mc:Fallback>
        </mc:AlternateContent>
      </w:r>
    </w:p>
    <w:p>
      <w:pPr>
        <w:pStyle w:val="ListParagraph"/>
        <w:numPr>
          <w:ilvl w:val="0"/>
          <w:numId w:val="4"/>
        </w:numPr>
        <w:tabs>
          <w:tab w:val="left" w:pos="2248"/>
        </w:tabs>
        <w:spacing w:before="35" w:after="0" w:line="264" w:lineRule="auto"/>
        <w:ind w:left="2135" w:right="696" w:firstLine="0"/>
        <w:jc w:val="left"/>
        <w:rPr>
          <w:sz w:val="18"/>
        </w:rPr>
      </w:pPr>
      <w:r>
        <w:rPr>
          <w:sz w:val="18"/>
        </w:rPr>
        <mc:AlternateContent>
          <mc:Choice Requires="wps">
            <w:drawing>
              <wp:anchor distT="0" distB="0" distL="0" distR="0" simplePos="0" relativeHeight="251676672" behindDoc="0" locked="0" layoutInCell="1" allowOverlap="1">
                <wp:simplePos x="0" y="0"/>
                <wp:positionH relativeFrom="page">
                  <wp:posOffset>355600</wp:posOffset>
                </wp:positionH>
                <wp:positionV relativeFrom="paragraph">
                  <wp:posOffset>-319404</wp:posOffset>
                </wp:positionV>
                <wp:extent cx="1168400" cy="1282700"/>
                <wp:effectExtent l="0" t="0" r="0" b="0"/>
                <wp:wrapNone/>
                <wp:docPr id="20" name="Textbox 20"/>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1282700"/>
                        </a:xfrm>
                        <a:prstGeom prst="rect">
                          <a:avLst/>
                        </a:prstGeom>
                        <a:solidFill>
                          <a:srgbClr val="EFEFEF"/>
                        </a:solidFill>
                      </wps:spPr>
                      <wps:txbx>
                        <w:txbxContent>
                          <w:p>
                            <w:pPr>
                              <w:spacing w:before="0" w:line="264" w:lineRule="auto"/>
                              <w:ind w:left="0" w:right="139" w:firstLine="0"/>
                              <w:jc w:val="left"/>
                              <w:rPr>
                                <w:sz w:val="16"/>
                              </w:rPr>
                            </w:pPr>
                            <w:r>
                              <w:rPr>
                                <w:b/>
                                <w:spacing w:val="-2"/>
                                <w:sz w:val="15"/>
                              </w:rPr>
                              <w:t xml:space="preserve">Gli indicatori di sostenibilità </w:t>
                            </w:r>
                            <w:r>
                              <w:rPr>
                                <w:sz w:val="15"/>
                              </w:rPr>
                              <w:t>misurano in che misura vengono raggiunte le caratteristiche ambientali o sociali promosse dal prodotto finanziario.</w:t>
                            </w:r>
                          </w:p>
                        </w:txbxContent>
                      </wps:txbx>
                      <wps:bodyPr wrap="square" lIns="0" tIns="0" rIns="0" bIns="0" rtlCol="0"/>
                    </wps:wsp>
                  </a:graphicData>
                </a:graphic>
              </wp:anchor>
            </w:drawing>
          </mc:Choice>
          <mc:Fallback>
            <w:pict>
              <v:shape id="_x0000_s1039" type="#_x0000_t202" style="width:92pt;height:101pt;margin-top:-25.15pt;margin-left:28pt;mso-position-horizontal-relative:page;position:absolute;z-index:251677696" filled="t" fillcolor="#efefef" stroked="f">
                <v:fill type="solid"/>
                <v:textbox inset="0,0,0,0">
                  <w:txbxContent>
                    <w:p>
                      <w:pPr>
                        <w:spacing w:before="0" w:line="264" w:lineRule="auto"/>
                        <w:ind w:left="0" w:right="139" w:firstLine="0"/>
                        <w:jc w:val="left"/>
                        <w:rPr>
                          <w:sz w:val="16"/>
                        </w:rPr>
                      </w:pPr>
                      <w:r>
                        <w:rPr>
                          <w:b/>
                          <w:spacing w:val="-2"/>
                          <w:sz w:val="16"/>
                        </w:rPr>
                        <w:t xml:space="preserve">Gli indicatori di sostenibilità </w:t>
                      </w:r>
                      <w:r>
                        <w:rPr>
                          <w:sz w:val="16"/>
                        </w:rPr>
                        <w:t>misurano in che misura vengono raggiunte le caratteristiche ambientali o sociali promosse dal prodotto finanziario.</w:t>
                      </w:r>
                    </w:p>
                  </w:txbxContent>
                </v:textbox>
              </v:shape>
            </w:pict>
          </mc:Fallback>
        </mc:AlternateContent>
      </w:r>
      <w:r>
        <w:rPr>
          <w:b/>
          <w:sz w:val="16"/>
        </w:rPr>
        <w:t xml:space="preserve">Esposizione a controversie molto gravi: </w:t>
      </w:r>
      <w:r>
        <w:rPr>
          <w:sz w:val="16"/>
        </w:rPr>
        <w:t>la percentuale del valore di mercato del portafoglio del prodotto finanziario esposta a società coinvolte in una o più controversie molto gravi relative all’ambiente, ai clienti, ai diritti umani, ai diritti dei lavoratori e alla governance, inclusa la violazione delle Linee guida dell’OCSE per le imprese multinazionali e dei Principi guida delle Nazioni Unite su imprese e diritti umani, come determinato da MSCI, Sustainalytics o RepRisk. I dettagli sul fornitore utilizzato sono disponibili su richiesta.</w:t>
      </w:r>
    </w:p>
    <w:p>
      <w:pPr>
        <w:pStyle w:val="BodyText"/>
        <w:spacing w:before="16"/>
      </w:pPr>
    </w:p>
    <w:p>
      <w:pPr>
        <w:pStyle w:val="ListParagraph"/>
        <w:numPr>
          <w:ilvl w:val="0"/>
          <w:numId w:val="4"/>
        </w:numPr>
        <w:tabs>
          <w:tab w:val="left" w:pos="2248"/>
        </w:tabs>
        <w:spacing w:before="0" w:after="0" w:line="264" w:lineRule="auto"/>
        <w:ind w:left="2135" w:right="776" w:firstLine="0"/>
        <w:jc w:val="left"/>
        <w:rPr>
          <w:sz w:val="18"/>
        </w:rPr>
      </w:pPr>
      <w:r>
        <w:rPr>
          <w:b/>
          <w:sz w:val="16"/>
        </w:rPr>
        <w:t xml:space="preserve">Esposizione agli emittenti “Worst-in-Class”: </w:t>
      </w:r>
      <w:r>
        <w:rPr>
          <w:sz w:val="16"/>
        </w:rPr>
        <w:t>la percentuale del valore di mercato del portafoglio del prodotto finanziario esposta a società con un rating “CCC”, secondo quanto determinato da MSCI, Sustainalytics o Sustainable1. I dettagli sul fornitore utilizzato sono disponibili su richiesta.</w:t>
      </w:r>
    </w:p>
    <w:p>
      <w:pPr>
        <w:pStyle w:val="BodyText"/>
        <w:spacing w:before="17"/>
      </w:pPr>
    </w:p>
    <w:p>
      <w:pPr>
        <w:pStyle w:val="ListParagraph"/>
        <w:numPr>
          <w:ilvl w:val="0"/>
          <w:numId w:val="4"/>
        </w:numPr>
        <w:tabs>
          <w:tab w:val="left" w:pos="2248"/>
        </w:tabs>
        <w:spacing w:before="1" w:after="0" w:line="264" w:lineRule="auto"/>
        <w:ind w:left="2135" w:right="716" w:firstLine="0"/>
        <w:jc w:val="left"/>
        <w:rPr>
          <w:sz w:val="18"/>
        </w:rPr>
      </w:pPr>
      <w:r>
        <w:rPr>
          <w:b/>
          <w:sz w:val="16"/>
        </w:rPr>
        <w:t xml:space="preserve">Coinvolgimento in armi controverse: </w:t>
      </w:r>
      <w:r>
        <w:rPr>
          <w:sz w:val="16"/>
        </w:rPr>
        <w:t>la percentuale del valore di mercato del portafoglio del prodotto finanziario esposta a società con legami con munizioni a grappolo, mine terrestri, armi biologiche/chimiche, armi all’uranio impoverito, armi laser accecanti, armi incendiarie e/o frammenti non rilevabili, secondo quanto determinato da MSCI, Sustainable1 o RepRisk. I dettagli sul fornitore utilizzato sono disponibili su richiesta.</w:t>
      </w:r>
    </w:p>
    <w:p>
      <w:pPr>
        <w:pStyle w:val="BodyText"/>
        <w:spacing w:before="16"/>
      </w:pPr>
    </w:p>
    <w:p>
      <w:pPr>
        <w:pStyle w:val="ListParagraph"/>
        <w:numPr>
          <w:ilvl w:val="0"/>
          <w:numId w:val="4"/>
        </w:numPr>
        <w:tabs>
          <w:tab w:val="left" w:pos="2248"/>
        </w:tabs>
        <w:spacing w:before="0" w:after="0" w:line="264" w:lineRule="auto"/>
        <w:ind w:left="2135" w:right="659" w:firstLine="0"/>
        <w:jc w:val="left"/>
        <w:rPr>
          <w:sz w:val="18"/>
        </w:rPr>
      </w:pPr>
      <w:r>
        <w:rPr>
          <w:b/>
          <w:sz w:val="16"/>
        </w:rPr>
        <w:t xml:space="preserve">Esposizione al settore del tabacco: </w:t>
      </w:r>
      <w:r>
        <w:rPr>
          <w:sz w:val="16"/>
        </w:rPr>
        <w:t>la percentuale del valore di mercato del portafoglio del prodotto finanziario esposta a società segnalate per il loro coinvolgimento nel settore del tabacco, che include tutti i produttori di tabacco, nonché i distributori, i fornitori e i rivenditori di tabacco con un fatturato complessivo in questi settori pari o superiore al 5%, secondo quanto determinato da MSCI o Sustainable1. I dettagli sul fornitore utilizzato sono disponibili su richiesta.</w:t>
      </w:r>
    </w:p>
    <w:p>
      <w:pPr>
        <w:pStyle w:val="BodyText"/>
        <w:rPr>
          <w:sz w:val="20"/>
        </w:rPr>
      </w:pPr>
    </w:p>
    <w:p>
      <w:pPr>
        <w:pStyle w:val="BodyText"/>
        <w:spacing w:before="19"/>
        <w:rPr>
          <w:sz w:val="20"/>
        </w:rPr>
      </w:pPr>
      <w:r>
        <w:rPr>
          <w:sz w:val="20"/>
        </w:rPr>
        <mc:AlternateContent>
          <mc:Choice Requires="wps">
            <w:drawing>
              <wp:anchor distT="0" distB="0" distL="0" distR="0" simplePos="0" relativeHeight="251732992" behindDoc="1" locked="0" layoutInCell="1" allowOverlap="1">
                <wp:simplePos x="0" y="0"/>
                <wp:positionH relativeFrom="page">
                  <wp:posOffset>1625600</wp:posOffset>
                </wp:positionH>
                <wp:positionV relativeFrom="paragraph">
                  <wp:posOffset>173443</wp:posOffset>
                </wp:positionV>
                <wp:extent cx="5570220" cy="307340"/>
                <wp:effectExtent l="0" t="0" r="0" b="0"/>
                <wp:wrapTopAndBottom/>
                <wp:docPr id="21" name="Textbox 21"/>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Quali sono gli obiettivi degli investimenti sostenibili che il prodotto finanziario intende realizzare in parte e in che modo l’investimento sostenibile contribuisce a tali obiettivi?</w:t>
                            </w:r>
                          </w:p>
                        </w:txbxContent>
                      </wps:txbx>
                      <wps:bodyPr wrap="square" lIns="0" tIns="0" rIns="0" bIns="0" rtlCol="0"/>
                    </wps:wsp>
                  </a:graphicData>
                </a:graphic>
              </wp:anchor>
            </w:drawing>
          </mc:Choice>
          <mc:Fallback>
            <w:pict>
              <v:shape id="_x0000_s1040" type="#_x0000_t202" style="width:438.6pt;height:24.2pt;margin-top:13.66pt;margin-left:128pt;mso-position-horizontal-relative:page;mso-wrap-distance-left:0;mso-wrap-distance-right:0;position:absolute;z-index:-251582464" filled="t" fillcolor="#efefef" stroked="f">
                <v:fill type="solid"/>
                <v:textbox inset="0,0,0,0">
                  <w:txbxContent>
                    <w:p>
                      <w:pPr>
                        <w:pStyle w:val="BodyText"/>
                        <w:spacing w:line="264" w:lineRule="auto"/>
                        <w:ind w:right="629"/>
                      </w:pPr>
                      <w:r>
                        <w:t>Quali sono gli obiettivi degli investimenti sostenibili che il prodotto finanziario intende effettuare in parte e in che modo l’investimento sostenibile contribuisce a tali obiettivi?</w:t>
                      </w:r>
                    </w:p>
                  </w:txbxContent>
                </v:textbox>
                <w10:wrap type="topAndBottom"/>
              </v:shape>
            </w:pict>
          </mc:Fallback>
        </mc:AlternateContent>
      </w:r>
    </w:p>
    <w:p>
      <w:pPr>
        <w:pStyle w:val="BodyText"/>
        <w:spacing w:before="74"/>
      </w:pPr>
    </w:p>
    <w:p>
      <w:pPr>
        <w:pStyle w:val="BodyText"/>
        <w:spacing w:line="264" w:lineRule="auto"/>
        <w:ind w:left="2135" w:right="839"/>
      </w:pPr>
      <w:r>
        <w:rPr>
          <w:sz w:val="16"/>
        </w:rPr>
        <w:t>Sebbene il prodotto finanziario non abbia come obiettivo l’investimento sostenibile, investirà una quota minima del proprio patrimonio in investimenti sostenibili secondo la definizione di cui all’articolo 2, paragrafo 17, del SFDR.</w:t>
      </w:r>
    </w:p>
    <w:p>
      <w:pPr>
        <w:pStyle w:val="BodyText"/>
        <w:spacing w:before="18"/>
      </w:pPr>
    </w:p>
    <w:p>
      <w:pPr>
        <w:pStyle w:val="BodyText"/>
        <w:spacing w:line="264" w:lineRule="auto"/>
        <w:ind w:left="2135" w:right="644"/>
      </w:pPr>
      <w:r>
        <w:rPr>
          <w:sz w:val="16"/>
        </w:rPr>
        <w:t>Almeno il 10% del patrimonio netto del prodotto finanziario sarà investito in attività economiche sostenibili che contribuiscono a un obiettivo ambientale e/o sociale, in conformità con l’articolo 2, paragrafo 17, del SFDR. Per attività economiche sostenibili si intende la quota delle attività economiche di un emittente che contribuisce a un obiettivo ambientale e/o a un obiettivo sociale, a condizione che tali investimenti non danneggino in modo significativo nessuno di tali obiettivi e che le società partecipate seguano buone pratiche di governance. La valutazione degli investimenti sostenibili utilizza dati provenienti da uno o più fornitori di dati e/o da fonti pubbliche per determinare se un’attività sia sostenibile. Gli obiettivi ambientali e/o sociali sono identificati dalle attività che contribuiscono positivamente agli Obiettivi di Sviluppo Sostenibile delle Nazioni Unite (“SDG delle Nazioni Unite”), che possono includere, a titolo esemplificativo ma non esaustivo, (i) Obiettivo 1: Nessuna povertà, (ii) Obiettivo 2: Fame zero, (iii) Obiettivo 3: Salute e benessere, (iv) Obiettivo 4: Istruzione di qualità, (v) Obiettivo 5: Uguaglianza di genere, (vi) Obiettivo 6: Acqua pulita e servizi igienico-sanitari, (vii) Obiettivo 7: Energia pulita e accessibile,</w:t>
      </w:r>
    </w:p>
    <w:p>
      <w:pPr>
        <w:pStyle w:val="BodyText"/>
        <w:spacing w:line="264" w:lineRule="auto"/>
        <w:ind w:left="2135" w:right="629"/>
      </w:pPr>
      <w:r>
        <w:rPr>
          <w:sz w:val="16"/>
        </w:rPr>
        <w:t>(viii) Obiettivo 10: Riduzione delle disuguaglianze, (ix) Obiettivo 11: Città e comunità sostenibili, (x) Obiettivo 12: Consumo responsabile, (xi) Obiettivo 13: Azione per il clima, (xii) Obiettivo 14: Vita sott’acqua e (xiii) Obiettivo 15: Vita sulla terra, sono misurati in termini di ricavi, spese in conto capitale (CapEx) e/o spese operative (OpEx). L’entità del contributo ai singoli SDG delle Nazioni Unite varierà in base agli investimenti effettivi nel portafoglio.</w:t>
      </w:r>
    </w:p>
    <w:p>
      <w:pPr>
        <w:pStyle w:val="BodyText"/>
        <w:spacing w:before="6"/>
        <w:rPr>
          <w:sz w:val="17"/>
        </w:rPr>
      </w:pPr>
      <w:r>
        <w:rPr>
          <w:sz w:val="17"/>
        </w:rPr>
        <mc:AlternateContent>
          <mc:Choice Requires="wps">
            <w:drawing>
              <wp:anchor distT="0" distB="0" distL="0" distR="0" simplePos="0" relativeHeight="251735040" behindDoc="1" locked="0" layoutInCell="1" allowOverlap="1">
                <wp:simplePos x="0" y="0"/>
                <wp:positionH relativeFrom="page">
                  <wp:posOffset>1625600</wp:posOffset>
                </wp:positionH>
                <wp:positionV relativeFrom="paragraph">
                  <wp:posOffset>143372</wp:posOffset>
                </wp:positionV>
                <wp:extent cx="5570220" cy="307340"/>
                <wp:effectExtent l="0" t="0" r="0" b="0"/>
                <wp:wrapTopAndBottom/>
                <wp:docPr id="22" name="Textbox 22"/>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In che modo gli investimenti sostenibili che il prodotto finanziario intende effettuare in parte non causano danni significativi a nessun obiettivo di investimento sostenibile ambientale o sociale?</w:t>
                            </w:r>
                          </w:p>
                        </w:txbxContent>
                      </wps:txbx>
                      <wps:bodyPr wrap="square" lIns="0" tIns="0" rIns="0" bIns="0" rtlCol="0"/>
                    </wps:wsp>
                  </a:graphicData>
                </a:graphic>
              </wp:anchor>
            </w:drawing>
          </mc:Choice>
          <mc:Fallback>
            <w:pict>
              <v:shape id="_x0000_s1041" type="#_x0000_t202" style="width:438.6pt;height:24.2pt;margin-top:11.29pt;margin-left:128pt;mso-position-horizontal-relative:page;mso-wrap-distance-left:0;mso-wrap-distance-right:0;position:absolute;z-index:-251580416" filled="t" fillcolor="#efefef" stroked="f">
                <v:fill type="solid"/>
                <v:textbox inset="0,0,0,0">
                  <w:txbxContent>
                    <w:p>
                      <w:pPr>
                        <w:pStyle w:val="BodyText"/>
                        <w:spacing w:line="264" w:lineRule="auto"/>
                        <w:ind w:right="629"/>
                      </w:pPr>
                      <w:r>
                        <w:t>In che modo gli investimenti sostenibili che il prodotto finanziario intende effettuare in parte non causano un danno significativo a nessun obiettivo di investimento sostenibile ambientale o sociale?</w:t>
                      </w:r>
                    </w:p>
                  </w:txbxContent>
                </v:textbox>
                <w10:wrap type="topAndBottom"/>
              </v:shape>
            </w:pict>
          </mc:Fallback>
        </mc:AlternateContent>
      </w:r>
    </w:p>
    <w:p>
      <w:pPr>
        <w:pStyle w:val="BodyText"/>
        <w:spacing w:before="74"/>
      </w:pPr>
    </w:p>
    <w:p>
      <w:pPr>
        <w:pStyle w:val="BodyText"/>
        <w:spacing w:line="264" w:lineRule="auto"/>
        <w:ind w:left="2135" w:right="689"/>
      </w:pPr>
      <w:r>
        <w:rPr>
          <w:sz w:val="16"/>
        </w:rPr>
        <w:t>Ai sensi dell’articolo 2, paragrafo 17, del regolamento SFDR, tali investimenti sostenibili non devono arrecare un danno significativo a nessun obiettivo ambientale o sociale e gli emittenti di tali investimenti sostenibili devono seguire buone pratiche di governance. Qualsiasi investimento che non soddisfi le soglie del principio “do no significant harm” (“DNSH”) non sarà considerato ai fini della quota di investimento sostenibile del prodotto finanziario. Tali soglie DNSH includeranno, a titolo esemplificativo ma non esaustivo:</w:t>
      </w:r>
    </w:p>
    <w:p>
      <w:pPr>
        <w:pStyle w:val="BodyText"/>
        <w:spacing w:before="16"/>
      </w:pPr>
    </w:p>
    <w:p>
      <w:pPr>
        <w:pStyle w:val="ListParagraph"/>
        <w:numPr>
          <w:ilvl w:val="0"/>
          <w:numId w:val="4"/>
        </w:numPr>
        <w:tabs>
          <w:tab w:val="left" w:pos="2248"/>
        </w:tabs>
        <w:spacing w:before="0" w:after="0" w:line="240" w:lineRule="auto"/>
        <w:ind w:left="2248" w:right="0" w:hanging="113"/>
        <w:jc w:val="left"/>
        <w:rPr>
          <w:sz w:val="18"/>
        </w:rPr>
      </w:pPr>
      <w:r>
        <w:rPr>
          <w:sz w:val="16"/>
        </w:rPr>
        <w:t>Il coinvolgimento in attività commerciali dannose;</w:t>
      </w:r>
    </w:p>
    <w:p>
      <w:pPr>
        <w:pStyle w:val="BodyText"/>
        <w:spacing w:before="40"/>
      </w:pPr>
    </w:p>
    <w:p>
      <w:pPr>
        <w:pStyle w:val="ListParagraph"/>
        <w:numPr>
          <w:ilvl w:val="0"/>
          <w:numId w:val="4"/>
        </w:numPr>
        <w:tabs>
          <w:tab w:val="left" w:pos="2248"/>
        </w:tabs>
        <w:spacing w:before="0" w:after="0" w:line="240" w:lineRule="auto"/>
        <w:ind w:left="2248" w:right="0" w:hanging="113"/>
        <w:jc w:val="left"/>
        <w:rPr>
          <w:sz w:val="18"/>
        </w:rPr>
      </w:pPr>
      <w:r>
        <w:rPr>
          <w:sz w:val="16"/>
        </w:rPr>
        <w:t>Violazione delle norme internazionali o coinvolgimento in controversie di grave entità; e</w:t>
      </w:r>
    </w:p>
    <w:p>
      <w:pPr>
        <w:pStyle w:val="BodyText"/>
        <w:spacing w:before="40"/>
      </w:pPr>
    </w:p>
    <w:p>
      <w:pPr>
        <w:pStyle w:val="ListParagraph"/>
        <w:numPr>
          <w:ilvl w:val="0"/>
          <w:numId w:val="4"/>
        </w:numPr>
        <w:tabs>
          <w:tab w:val="left" w:pos="2248"/>
        </w:tabs>
        <w:spacing w:before="0" w:after="0" w:line="240" w:lineRule="auto"/>
        <w:ind w:left="2248" w:right="0" w:hanging="113"/>
        <w:jc w:val="left"/>
        <w:rPr>
          <w:sz w:val="18"/>
        </w:rPr>
      </w:pPr>
      <w:r>
        <w:rPr>
          <w:sz w:val="16"/>
        </w:rPr>
        <w:t>Violazione di determinate soglie relative agli indicatori avversi principali.</w:t>
      </w:r>
    </w:p>
    <w:p>
      <w:pPr>
        <w:pStyle w:val="ListParagraph"/>
        <w:spacing w:after="0" w:line="240" w:lineRule="auto"/>
        <w:jc w:val="left"/>
        <w:rPr>
          <w:sz w:val="18"/>
        </w:rPr>
        <w:sectPr>
          <w:pgSz w:w="11910" w:h="16840"/>
          <w:pgMar w:top="700" w:right="566" w:bottom="280" w:left="425" w:header="708" w:footer="708"/>
          <w:cols w:space="708"/>
        </w:sectPr>
      </w:pPr>
    </w:p>
    <w:p>
      <w:pPr>
        <w:spacing w:line="240" w:lineRule="auto"/>
        <w:ind w:left="2135" w:right="-44" w:firstLine="0"/>
        <w:rPr>
          <w:sz w:val="20"/>
        </w:rPr>
      </w:pPr>
      <w:r>
        <w:rPr>
          <w:sz w:val="20"/>
        </w:rPr>
        <mc:AlternateContent>
          <mc:Choice Requires="wps">
            <w:drawing>
              <wp:inline distT="0" distB="0" distL="0" distR="0">
                <wp:extent cx="5570220" cy="234950"/>
                <wp:effectExtent l="0" t="0" r="0" b="0"/>
                <wp:docPr id="23" name="Textbox 23"/>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In che modo sono stati presi in considerazione gli indicatori relativi agli impatti negativi sui fattori di sostenibilità?</w:t>
                            </w:r>
                          </w:p>
                        </w:txbxContent>
                      </wps:txbx>
                      <wps:bodyPr wrap="square" lIns="0" tIns="0" rIns="0" bIns="0" rtlCol="0"/>
                    </wps:wsp>
                  </a:graphicData>
                </a:graphic>
              </wp:inline>
            </w:drawing>
          </mc:Choice>
          <mc:Fallback>
            <w:pict>
              <v:shape id="_x0000_i1042" type="#_x0000_t202" style="width:438.6pt;height:18.5pt;mso-position-horizontal-relative:char;mso-position-vertical-relative:line" filled="t" fillcolor="#efefef" stroked="f">
                <v:fill type="solid"/>
                <v:textbox inset="0,0,0,0">
                  <w:txbxContent>
                    <w:p>
                      <w:pPr>
                        <w:pStyle w:val="BodyText"/>
                        <w:spacing w:line="201" w:lineRule="exact"/>
                      </w:pPr>
                      <w:r>
                        <w:t>In che modo sono stati presi in considerazione gli indicatori relativi agli impatti negativi sui fattori di sostenibilità?</w:t>
                      </w:r>
                    </w:p>
                  </w:txbxContent>
                </v:textbox>
                <w10:anchorlock/>
              </v:shape>
            </w:pict>
          </mc:Fallback>
        </mc:AlternateContent>
      </w:r>
    </w:p>
    <w:p>
      <w:pPr>
        <w:pStyle w:val="BodyText"/>
        <w:spacing w:before="61"/>
      </w:pPr>
    </w:p>
    <w:p>
      <w:pPr>
        <w:pStyle w:val="BodyText"/>
        <w:spacing w:line="264" w:lineRule="auto"/>
        <w:ind w:left="2135" w:right="629"/>
      </w:pPr>
      <w:r>
        <w:rPr>
          <w:sz w:val="16"/>
        </w:rPr>
        <w:t>Nell’ambito della valutazione DNSH ai sensi dell’articolo 2, paragrafo 17, dello SFDR, la valutazione degli investimenti sostenibili integra determinati parametri relativi agli indicatori negativi principali e l’Indice di Riferimento del prodotto finanziario include criteri volti a ridurre l’esposizione o ad escludere titoli che presentano un allineamento negativo con i seguenti indicatori negativi principali:</w:t>
      </w:r>
    </w:p>
    <w:p>
      <w:pPr>
        <w:pStyle w:val="BodyText"/>
        <w:spacing w:before="17"/>
      </w:pPr>
    </w:p>
    <w:p>
      <w:pPr>
        <w:pStyle w:val="ListParagraph"/>
        <w:numPr>
          <w:ilvl w:val="0"/>
          <w:numId w:val="4"/>
        </w:numPr>
        <w:tabs>
          <w:tab w:val="left" w:pos="2248"/>
        </w:tabs>
        <w:spacing w:before="0" w:after="0" w:line="240" w:lineRule="auto"/>
        <w:ind w:left="2248" w:right="0" w:hanging="113"/>
        <w:jc w:val="left"/>
        <w:rPr>
          <w:sz w:val="18"/>
        </w:rPr>
      </w:pPr>
      <w:r>
        <w:rPr>
          <w:sz w:val="16"/>
        </w:rPr>
        <w:t>Esposizione a società operanti nel settore dei combustibili fossili (n. 4);</w:t>
      </w:r>
    </w:p>
    <w:p>
      <w:pPr>
        <w:pStyle w:val="BodyText"/>
        <w:spacing w:before="40"/>
      </w:pPr>
    </w:p>
    <w:p>
      <w:pPr>
        <w:pStyle w:val="ListParagraph"/>
        <w:numPr>
          <w:ilvl w:val="0"/>
          <w:numId w:val="4"/>
        </w:numPr>
        <w:tabs>
          <w:tab w:val="left" w:pos="2248"/>
        </w:tabs>
        <w:spacing w:before="0" w:after="0" w:line="264" w:lineRule="auto"/>
        <w:ind w:left="2135" w:right="876" w:firstLine="0"/>
        <w:jc w:val="left"/>
        <w:rPr>
          <w:sz w:val="18"/>
        </w:rPr>
      </w:pPr>
      <w:r>
        <w:rPr>
          <w:sz w:val="16"/>
        </w:rPr>
        <w:t>Violazione dei principi del Global Compact delle Nazioni Unite e delle Linee guida dell’OCSE per le imprese multinazionali (n. 10); e</w:t>
      </w:r>
    </w:p>
    <w:p>
      <w:pPr>
        <w:pStyle w:val="BodyText"/>
        <w:spacing w:before="19"/>
      </w:pPr>
    </w:p>
    <w:p>
      <w:pPr>
        <w:pStyle w:val="ListParagraph"/>
        <w:numPr>
          <w:ilvl w:val="0"/>
          <w:numId w:val="4"/>
        </w:numPr>
        <w:tabs>
          <w:tab w:val="left" w:pos="2248"/>
        </w:tabs>
        <w:spacing w:before="0" w:after="0" w:line="240" w:lineRule="auto"/>
        <w:ind w:left="2248" w:right="0" w:hanging="113"/>
        <w:jc w:val="left"/>
        <w:rPr>
          <w:sz w:val="18"/>
        </w:rPr>
      </w:pPr>
      <w:r>
        <w:rPr>
          <w:sz w:val="16"/>
        </w:rPr>
        <w:t>Esposizione ad armi controverse (n. 14).</w:t>
      </w:r>
    </w:p>
    <w:p>
      <w:pPr>
        <w:pStyle w:val="BodyText"/>
        <w:spacing w:before="2"/>
        <w:rPr>
          <w:sz w:val="20"/>
        </w:rPr>
      </w:pPr>
      <w:r>
        <w:rPr>
          <w:sz w:val="20"/>
        </w:rPr>
        <mc:AlternateContent>
          <mc:Choice Requires="wps">
            <w:drawing>
              <wp:anchor distT="0" distB="0" distL="0" distR="0" simplePos="0" relativeHeight="251737088" behindDoc="1" locked="0" layoutInCell="1" allowOverlap="1">
                <wp:simplePos x="0" y="0"/>
                <wp:positionH relativeFrom="page">
                  <wp:posOffset>1625600</wp:posOffset>
                </wp:positionH>
                <wp:positionV relativeFrom="paragraph">
                  <wp:posOffset>162573</wp:posOffset>
                </wp:positionV>
                <wp:extent cx="5570220" cy="307340"/>
                <wp:effectExtent l="0" t="0" r="0" b="0"/>
                <wp:wrapTopAndBottom/>
                <wp:docPr id="24" name="Textbox 24"/>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In che modo gli investimenti sostenibili sono allineati alle Linee guida dell’OCSE per le imprese multinazionali e ai Principi guida delle Nazioni Unite su imprese e diritti umani? Dettagli:</w:t>
                            </w:r>
                          </w:p>
                        </w:txbxContent>
                      </wps:txbx>
                      <wps:bodyPr wrap="square" lIns="0" tIns="0" rIns="0" bIns="0" rtlCol="0"/>
                    </wps:wsp>
                  </a:graphicData>
                </a:graphic>
              </wp:anchor>
            </w:drawing>
          </mc:Choice>
          <mc:Fallback>
            <w:pict>
              <v:shape id="_x0000_s1043" type="#_x0000_t202" style="width:438.6pt;height:24.2pt;margin-top:12.8pt;margin-left:128pt;mso-position-horizontal-relative:page;mso-wrap-distance-left:0;mso-wrap-distance-right:0;position:absolute;z-index:-251578368" filled="t" fillcolor="#efefef" stroked="f">
                <v:fill type="solid"/>
                <v:textbox inset="0,0,0,0">
                  <w:txbxContent>
                    <w:p>
                      <w:pPr>
                        <w:pStyle w:val="BodyText"/>
                        <w:spacing w:line="264" w:lineRule="auto"/>
                        <w:ind w:right="629"/>
                      </w:pPr>
                      <w:r>
                        <w:t>In che modo gli investimenti sostenibili sono allineati alle Linee guida dell’OCSE per le imprese multinazionali e ai Principi guida delle Nazioni Unite su imprese e diritti umani? Dettagli:</w:t>
                      </w:r>
                    </w:p>
                  </w:txbxContent>
                </v:textbox>
                <w10:wrap type="topAndBottom"/>
              </v:shape>
            </w:pict>
          </mc:Fallback>
        </mc:AlternateContent>
      </w:r>
    </w:p>
    <w:p>
      <w:pPr>
        <w:pStyle w:val="BodyText"/>
        <w:spacing w:before="74"/>
      </w:pPr>
    </w:p>
    <w:p>
      <w:pPr>
        <w:pStyle w:val="BodyText"/>
        <w:spacing w:line="264" w:lineRule="auto"/>
        <w:ind w:left="2135" w:right="839"/>
      </w:pPr>
      <w:r>
        <w:rPr>
          <w:sz w:val="16"/>
        </w:rPr>
        <w:t>Qualsiasi titolo che violi le Linee guida dell’OCSE per le imprese multinazionali e i Principi guida delle Nazioni Unite su imprese e diritti umani viene escluso dall’indice di riferimento del prodotto finanziario.</w:t>
      </w:r>
    </w:p>
    <w:p>
      <w:pPr>
        <w:pStyle w:val="BodyText"/>
        <w:spacing w:before="40"/>
        <w:rPr>
          <w:sz w:val="20"/>
        </w:rPr>
      </w:pPr>
      <w:r>
        <w:rPr>
          <w:sz w:val="20"/>
        </w:rPr>
        <mc:AlternateContent>
          <mc:Choice Requires="wps">
            <w:drawing>
              <wp:anchor distT="0" distB="0" distL="0" distR="0" simplePos="0" relativeHeight="251739136" behindDoc="1" locked="0" layoutInCell="1" allowOverlap="1">
                <wp:simplePos x="0" y="0"/>
                <wp:positionH relativeFrom="page">
                  <wp:posOffset>1625600</wp:posOffset>
                </wp:positionH>
                <wp:positionV relativeFrom="paragraph">
                  <wp:posOffset>187106</wp:posOffset>
                </wp:positionV>
                <wp:extent cx="5570220" cy="1604645"/>
                <wp:effectExtent l="0" t="0" r="0" b="0"/>
                <wp:wrapTopAndBottom/>
                <wp:docPr id="25" name="Textbox 25"/>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1604645"/>
                        </a:xfrm>
                        <a:prstGeom prst="rect">
                          <a:avLst/>
                        </a:prstGeom>
                        <a:solidFill>
                          <a:srgbClr val="EFEFEF"/>
                        </a:solidFill>
                      </wps:spPr>
                      <wps:txbx>
                        <w:txbxContent>
                          <w:p>
                            <w:pPr>
                              <w:spacing w:before="0" w:line="264" w:lineRule="auto"/>
                              <w:ind w:left="0" w:right="629" w:firstLine="0"/>
                              <w:jc w:val="left"/>
                              <w:rPr>
                                <w:i/>
                                <w:sz w:val="18"/>
                              </w:rPr>
                            </w:pPr>
                            <w:r>
                              <w:rPr>
                                <w:i/>
                                <w:sz w:val="16"/>
                              </w:rPr>
                              <w:t>La tassonomia dell’UE stabilisce il principio del «non causare danni significativi», secondo cui gli investimenti allineati alla tassonomia non devono danneggiare in modo significativo gli obiettivi della tassonomia dell’UE, ed è accompagnata da criteri specifici dell’UE.</w:t>
                            </w:r>
                          </w:p>
                          <w:p>
                            <w:pPr>
                              <w:pStyle w:val="BodyText"/>
                              <w:spacing w:before="12"/>
                              <w:rPr>
                                <w:i/>
                              </w:rPr>
                            </w:pPr>
                          </w:p>
                          <w:p>
                            <w:pPr>
                              <w:pStyle w:val="BodyText"/>
                              <w:spacing w:line="264" w:lineRule="auto"/>
                              <w:ind w:right="637"/>
                            </w:pPr>
                            <w:r>
                              <w:rPr>
                                <w:sz w:val="16"/>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pStyle w:val="BodyText"/>
                              <w:spacing w:before="17"/>
                            </w:pPr>
                          </w:p>
                          <w:p>
                            <w:pPr>
                              <w:spacing w:before="0" w:line="264" w:lineRule="auto"/>
                              <w:ind w:left="0" w:right="629" w:firstLine="0"/>
                              <w:jc w:val="left"/>
                              <w:rPr>
                                <w:i/>
                                <w:sz w:val="18"/>
                              </w:rPr>
                            </w:pPr>
                            <w:r>
                              <w:rPr>
                                <w:i/>
                                <w:sz w:val="16"/>
                              </w:rPr>
                              <w:t>Anche qualsiasi altro investimento sostenibile non deve arrecare danno significativo ad alcun obiettivo ambientale o sociale.</w:t>
                            </w:r>
                          </w:p>
                        </w:txbxContent>
                      </wps:txbx>
                      <wps:bodyPr wrap="square" lIns="0" tIns="0" rIns="0" bIns="0" rtlCol="0"/>
                    </wps:wsp>
                  </a:graphicData>
                </a:graphic>
              </wp:anchor>
            </w:drawing>
          </mc:Choice>
          <mc:Fallback>
            <w:pict>
              <v:shape id="_x0000_s1044" type="#_x0000_t202" style="width:438.6pt;height:126.35pt;margin-top:14.73pt;margin-left:128pt;mso-position-horizontal-relative:page;mso-wrap-distance-left:0;mso-wrap-distance-right:0;position:absolute;z-index:-251576320" filled="t" fillcolor="#efefef" stroked="f">
                <v:fill type="solid"/>
                <v:textbox inset="0,0,0,0">
                  <w:txbxContent>
                    <w:p>
                      <w:pPr>
                        <w:spacing w:before="0" w:line="264" w:lineRule="auto"/>
                        <w:ind w:left="0" w:right="629" w:firstLine="0"/>
                        <w:jc w:val="left"/>
                        <w:rPr>
                          <w:i/>
                          <w:sz w:val="18"/>
                        </w:rPr>
                      </w:pPr>
                      <w:r>
                        <w:rPr>
                          <w:i/>
                          <w:sz w:val="18"/>
                        </w:rPr>
                        <w:t>La tassonomia dell’UE stabilisce il principio del «non causare danni significativi», secondo cui gli investimenti allineati alla tassonomia non devono arrecare danni significativi agli obiettivi della tassonomia dell’UE, ed è accompagnata da criteri specifici dell’UE.</w:t>
                      </w:r>
                    </w:p>
                    <w:p>
                      <w:pPr>
                        <w:pStyle w:val="BodyText"/>
                        <w:spacing w:before="12"/>
                        <w:rPr>
                          <w:i/>
                        </w:rPr>
                      </w:pPr>
                    </w:p>
                    <w:p>
                      <w:pPr>
                        <w:pStyle w:val="BodyText"/>
                        <w:spacing w:line="264" w:lineRule="auto"/>
                        <w:ind w:right="637"/>
                      </w:pPr>
                      <w: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pStyle w:val="BodyText"/>
                        <w:spacing w:before="17"/>
                      </w:pPr>
                    </w:p>
                    <w:p>
                      <w:pPr>
                        <w:spacing w:before="0" w:line="264" w:lineRule="auto"/>
                        <w:ind w:left="0" w:right="629" w:firstLine="0"/>
                        <w:jc w:val="left"/>
                        <w:rPr>
                          <w:i/>
                          <w:sz w:val="18"/>
                        </w:rPr>
                      </w:pPr>
                      <w:r>
                        <w:rPr>
                          <w:i/>
                          <w:sz w:val="18"/>
                        </w:rPr>
                        <w:t>Anche qualsiasi altro investimento sostenibile non deve arrecare danno significativo ad alcun obiettivo ambientale o sociale.</w:t>
                      </w:r>
                    </w:p>
                  </w:txbxContent>
                </v:textbox>
                <w10:wrap type="topAndBottom"/>
              </v:shape>
            </w:pict>
          </mc:Fallback>
        </mc:AlternateContent>
      </w:r>
    </w:p>
    <w:p>
      <w:pPr>
        <w:pStyle w:val="BodyText"/>
        <w:spacing w:before="110"/>
        <w:rPr>
          <w:sz w:val="20"/>
        </w:rPr>
      </w:pPr>
    </w:p>
    <w:p>
      <w:pPr>
        <w:tabs>
          <w:tab w:val="left" w:pos="2294"/>
        </w:tabs>
        <w:spacing w:before="0" w:line="652" w:lineRule="exact"/>
        <w:ind w:left="135" w:right="0" w:firstLine="0"/>
        <w:jc w:val="left"/>
        <w:rPr>
          <w:b/>
          <w:sz w:val="20"/>
        </w:rPr>
      </w:pPr>
      <w:r>
        <w:rPr>
          <w:b/>
          <w:sz w:val="20"/>
        </w:rPr>
        <mc:AlternateContent>
          <mc:Choice Requires="wps">
            <w:drawing>
              <wp:anchor distT="0" distB="0" distL="0" distR="0" simplePos="0" relativeHeight="251684864" behindDoc="0" locked="0" layoutInCell="1" allowOverlap="1">
                <wp:simplePos x="0" y="0"/>
                <wp:positionH relativeFrom="page">
                  <wp:posOffset>1943100</wp:posOffset>
                </wp:positionH>
                <wp:positionV relativeFrom="paragraph">
                  <wp:posOffset>12</wp:posOffset>
                </wp:positionV>
                <wp:extent cx="5252720" cy="234950"/>
                <wp:effectExtent l="0" t="0" r="0" b="0"/>
                <wp:wrapNone/>
                <wp:docPr id="26" name="Textbox 26"/>
                <wp:cNvGraphicFramePr/>
                <a:graphic xmlns:a="http://schemas.openxmlformats.org/drawingml/2006/main">
                  <a:graphicData uri="http://schemas.microsoft.com/office/word/2010/wordprocessingShape">
                    <wps:wsp xmlns:wps="http://schemas.microsoft.com/office/word/2010/wordprocessingShape">
                      <wps:cNvSpPr txBox="1"/>
                      <wps:spPr>
                        <a:xfrm>
                          <a:off x="0" y="0"/>
                          <a:ext cx="5252720" cy="234950"/>
                        </a:xfrm>
                        <a:prstGeom prst="rect">
                          <a:avLst/>
                        </a:prstGeom>
                        <a:solidFill>
                          <a:srgbClr val="EFEFEF"/>
                        </a:solidFill>
                      </wps:spPr>
                      <wps:txbx>
                        <w:txbxContent>
                          <w:p>
                            <w:pPr>
                              <w:pStyle w:val="BodyText"/>
                              <w:spacing w:line="201" w:lineRule="exact"/>
                            </w:pPr>
                            <w:r>
                              <w:rPr>
                                <w:sz w:val="16"/>
                              </w:rPr>
                              <w:t>Questo prodotto finanziario tiene conto dei principali impatti negativi sui fattori di sostenibilità?</w:t>
                            </w:r>
                          </w:p>
                        </w:txbxContent>
                      </wps:txbx>
                      <wps:bodyPr wrap="square" lIns="0" tIns="0" rIns="0" bIns="0" rtlCol="0"/>
                    </wps:wsp>
                  </a:graphicData>
                </a:graphic>
              </wp:anchor>
            </w:drawing>
          </mc:Choice>
          <mc:Fallback>
            <w:pict>
              <v:shape id="_x0000_s1045" type="#_x0000_t202" style="width:413.6pt;height:18.5pt;margin-top:0;margin-left:153pt;mso-position-horizontal-relative:page;position:absolute;z-index:251685888" filled="t" fillcolor="#efefef" stroked="f">
                <v:fill type="solid"/>
                <v:textbox inset="0,0,0,0">
                  <w:txbxContent>
                    <w:p>
                      <w:pPr>
                        <w:pStyle w:val="BodyText"/>
                        <w:spacing w:line="201" w:lineRule="exact"/>
                      </w:pPr>
                      <w:r>
                        <w:t>Questo prodotto finanziario tiene conto dei principali impatti negativi sui fattori di sostenibilità?</w:t>
                      </w:r>
                    </w:p>
                  </w:txbxContent>
                </v:textbox>
              </v:shape>
            </w:pict>
          </mc:Fallback>
        </mc:AlternateContent>
      </w:r>
      <w:r>
        <w:rPr>
          <w:position w:val="-2"/>
        </w:rPr>
        <w:drawing>
          <wp:inline distT="0" distB="0" distL="0" distR="0">
            <wp:extent cx="1155700" cy="406400"/>
            <wp:effectExtent l="0" t="0" r="0" b="0"/>
            <wp:docPr id="27" name="Image 27"/>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xmlns:r="http://schemas.openxmlformats.org/officeDocument/2006/relationships" r:embed="rId9" cstate="print"/>
                    <a:stretch>
                      <a:fillRect/>
                    </a:stretch>
                  </pic:blipFill>
                  <pic:spPr>
                    <a:xfrm>
                      <a:off x="0" y="0"/>
                      <a:ext cx="1155700" cy="406400"/>
                    </a:xfrm>
                    <a:prstGeom prst="rect">
                      <a:avLst/>
                    </a:prstGeom>
                  </pic:spPr>
                </pic:pic>
              </a:graphicData>
            </a:graphic>
          </wp:inline>
        </w:drawing>
      </w:r>
      <w:r>
        <w:rPr>
          <w:rFonts w:ascii="Times New Roman"/>
          <w:sz w:val="18"/>
        </w:rPr>
        <w:tab/>
      </w:r>
      <w:r>
        <w:rPr>
          <w:b/>
          <w:sz w:val="18"/>
          <w:shd w:val="clear" w:color="auto" w:fill="F0F0F0"/>
        </w:rPr>
        <w:t xml:space="preserve"> X </w:t>
      </w:r>
    </w:p>
    <w:p>
      <w:pPr>
        <w:pStyle w:val="BodyText"/>
        <w:spacing w:line="264" w:lineRule="auto"/>
        <w:ind w:left="2635" w:right="839"/>
      </w:pPr>
      <w:r>
        <mc:AlternateContent>
          <mc:Choice Requires="wps">
            <w:drawing>
              <wp:anchor distT="0" distB="0" distL="0" distR="0" simplePos="0" relativeHeight="251682816" behindDoc="0" locked="0" layoutInCell="1" allowOverlap="1">
                <wp:simplePos x="0" y="0"/>
                <wp:positionH relativeFrom="page">
                  <wp:posOffset>355600</wp:posOffset>
                </wp:positionH>
                <wp:positionV relativeFrom="paragraph">
                  <wp:posOffset>55751</wp:posOffset>
                </wp:positionV>
                <wp:extent cx="1168400" cy="1719580"/>
                <wp:effectExtent l="0" t="0" r="0" b="0"/>
                <wp:wrapNone/>
                <wp:docPr id="28" name="Textbox 28"/>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1719580"/>
                        </a:xfrm>
                        <a:prstGeom prst="rect">
                          <a:avLst/>
                        </a:prstGeom>
                        <a:solidFill>
                          <a:srgbClr val="EFEFEF"/>
                        </a:solidFill>
                      </wps:spPr>
                      <wps:txbx>
                        <w:txbxContent>
                          <w:p>
                            <w:pPr>
                              <w:spacing w:before="0" w:line="264" w:lineRule="auto"/>
                              <w:ind w:left="0" w:right="195" w:firstLine="0"/>
                              <w:jc w:val="left"/>
                              <w:rPr>
                                <w:sz w:val="16"/>
                              </w:rPr>
                            </w:pPr>
                            <w:r>
                              <w:rPr>
                                <w:b/>
                                <w:sz w:val="15"/>
                              </w:rPr>
                              <w:t xml:space="preserve">Gli impatti negativi principali </w:t>
                            </w:r>
                            <w:r>
                              <w:rPr>
                                <w:sz w:val="15"/>
                              </w:rPr>
                              <w:t>sono gli impatti negativi più significativi delle decisioni di investimento sui fattori di sostenibilità relativi a questioni ambientali, sociali e relative ai lavoratori, al rispetto dei diritti umani, alla lotta alla corruzione e alla lotta alla concussione.</w:t>
                            </w:r>
                          </w:p>
                        </w:txbxContent>
                      </wps:txbx>
                      <wps:bodyPr wrap="square" lIns="0" tIns="0" rIns="0" bIns="0" rtlCol="0"/>
                    </wps:wsp>
                  </a:graphicData>
                </a:graphic>
              </wp:anchor>
            </w:drawing>
          </mc:Choice>
          <mc:Fallback>
            <w:pict>
              <v:shape id="_x0000_s1046" type="#_x0000_t202" style="width:92pt;height:135.4pt;margin-top:4.39pt;margin-left:28pt;mso-position-horizontal-relative:page;position:absolute;z-index:251683840" filled="t" fillcolor="#efefef" stroked="f">
                <v:fill type="solid"/>
                <v:textbox inset="0,0,0,0">
                  <w:txbxContent>
                    <w:p>
                      <w:pPr>
                        <w:spacing w:before="0" w:line="264" w:lineRule="auto"/>
                        <w:ind w:left="0" w:right="195" w:firstLine="0"/>
                        <w:jc w:val="left"/>
                        <w:rPr>
                          <w:sz w:val="16"/>
                        </w:rPr>
                      </w:pPr>
                      <w:r>
                        <w:rPr>
                          <w:b/>
                          <w:sz w:val="16"/>
                        </w:rPr>
                        <w:t xml:space="preserve">Gli impatti negativi principali </w:t>
                      </w:r>
                      <w:r>
                        <w:rPr>
                          <w:sz w:val="16"/>
                        </w:rPr>
                        <w:t>sono gli impatti negativi più significativi delle decisioni di investimento sui fattori di sostenibilità relativi a questioni ambientali, sociali e relative ai lavoratori, al rispetto dei diritti umani, alla lotta alla corruzione e alle pratiche di concussione.</w:t>
                      </w:r>
                    </w:p>
                  </w:txbxContent>
                </v:textbox>
              </v:shape>
            </w:pict>
          </mc:Fallback>
        </mc:AlternateContent>
      </w:r>
      <w:r>
        <w:rPr>
          <w:sz w:val="16"/>
        </w:rPr>
        <w:t>Sì, il prodotto finanziario tiene conto dei seguenti impatti negativi principali sui fattori di sostenibilità di cui all’allegato I del progetto di regolamento delegato della Commissione che integra l’SFDR (C(2022) 1931 definitivo):</w:t>
      </w:r>
    </w:p>
    <w:p>
      <w:pPr>
        <w:pStyle w:val="BodyText"/>
        <w:spacing w:before="16"/>
      </w:pPr>
    </w:p>
    <w:p>
      <w:pPr>
        <w:pStyle w:val="ListParagraph"/>
        <w:numPr>
          <w:ilvl w:val="1"/>
          <w:numId w:val="4"/>
        </w:numPr>
        <w:tabs>
          <w:tab w:val="left" w:pos="2748"/>
        </w:tabs>
        <w:spacing w:before="1" w:after="0" w:line="240" w:lineRule="auto"/>
        <w:ind w:left="2748" w:right="0" w:hanging="113"/>
        <w:jc w:val="left"/>
        <w:rPr>
          <w:sz w:val="18"/>
        </w:rPr>
      </w:pPr>
      <w:r>
        <w:rPr>
          <w:sz w:val="16"/>
        </w:rPr>
        <w:t>Esposizione a società operanti nel settore dei combustibili fossili (n. 4);</w:t>
      </w:r>
    </w:p>
    <w:p>
      <w:pPr>
        <w:pStyle w:val="BodyText"/>
        <w:spacing w:before="39"/>
      </w:pPr>
    </w:p>
    <w:p>
      <w:pPr>
        <w:pStyle w:val="ListParagraph"/>
        <w:numPr>
          <w:ilvl w:val="1"/>
          <w:numId w:val="4"/>
        </w:numPr>
        <w:tabs>
          <w:tab w:val="left" w:pos="2748"/>
        </w:tabs>
        <w:spacing w:before="1" w:after="0" w:line="264" w:lineRule="auto"/>
        <w:ind w:left="2635" w:right="737" w:firstLine="0"/>
        <w:jc w:val="left"/>
        <w:rPr>
          <w:sz w:val="18"/>
        </w:rPr>
      </w:pPr>
      <w:r>
        <w:rPr>
          <w:sz w:val="16"/>
        </w:rPr>
        <w:t>Violazione dei principi del Global Compact delle Nazioni Unite e delle Linee guida dell’OCSE per le imprese multinazionali (n. 10); e</w:t>
      </w:r>
    </w:p>
    <w:p>
      <w:pPr>
        <w:pStyle w:val="BodyText"/>
        <w:spacing w:before="18"/>
      </w:pPr>
    </w:p>
    <w:p>
      <w:pPr>
        <w:pStyle w:val="ListParagraph"/>
        <w:numPr>
          <w:ilvl w:val="1"/>
          <w:numId w:val="4"/>
        </w:numPr>
        <w:tabs>
          <w:tab w:val="left" w:pos="2748"/>
        </w:tabs>
        <w:spacing w:before="0" w:after="0" w:line="240" w:lineRule="auto"/>
        <w:ind w:left="2748" w:right="0" w:hanging="113"/>
        <w:jc w:val="left"/>
        <w:rPr>
          <w:sz w:val="18"/>
        </w:rPr>
      </w:pPr>
      <w:r>
        <w:rPr>
          <w:sz w:val="16"/>
        </w:rPr>
        <w:t>Esposizione ad armi controverse (n. 14).</w:t>
      </w:r>
    </w:p>
    <w:p>
      <w:pPr>
        <w:pStyle w:val="BodyText"/>
        <w:spacing w:before="114"/>
      </w:pPr>
    </w:p>
    <w:p>
      <w:pPr>
        <w:pStyle w:val="BodyText"/>
        <w:ind w:left="2635"/>
      </w:pPr>
      <w:r>
        <mc:AlternateContent>
          <mc:Choice Requires="wps">
            <w:drawing>
              <wp:anchor distT="0" distB="0" distL="0" distR="0" simplePos="0" relativeHeight="251678720" behindDoc="0" locked="0" layoutInCell="1" allowOverlap="1">
                <wp:simplePos x="0" y="0"/>
                <wp:positionH relativeFrom="page">
                  <wp:posOffset>1727200</wp:posOffset>
                </wp:positionH>
                <wp:positionV relativeFrom="paragraph">
                  <wp:posOffset>4126</wp:posOffset>
                </wp:positionV>
                <wp:extent cx="158750" cy="158750"/>
                <wp:effectExtent l="0" t="0" r="0" b="0"/>
                <wp:wrapNone/>
                <wp:docPr id="29" name="Graphic 29"/>
                <wp:cNvGraphicFramePr/>
                <a:graphic xmlns:a="http://schemas.openxmlformats.org/drawingml/2006/main">
                  <a:graphicData uri="http://schemas.microsoft.com/office/word/2010/wordprocessingShape">
                    <wps:wsp xmlns:wps="http://schemas.microsoft.com/office/word/2010/wordprocessingShape">
                      <wps:cNvSpPr/>
                      <wps:spPr>
                        <a:xfrm>
                          <a:off x="0" y="0"/>
                          <a:ext cx="158750" cy="158750"/>
                        </a:xfrm>
                        <a:custGeom>
                          <a:avLst/>
                          <a:gdLst/>
                          <a:rect l="l" t="t" r="r" b="b"/>
                          <a:pathLst>
                            <a:path fill="norm" h="158750" w="158750" stroke="1">
                              <a:moveTo>
                                <a:pt x="158750" y="158749"/>
                              </a:moveTo>
                              <a:lnTo>
                                <a:pt x="0" y="158749"/>
                              </a:lnTo>
                              <a:lnTo>
                                <a:pt x="0" y="0"/>
                              </a:lnTo>
                              <a:lnTo>
                                <a:pt x="158750" y="0"/>
                              </a:lnTo>
                              <a:lnTo>
                                <a:pt x="158750" y="158749"/>
                              </a:lnTo>
                              <a:close/>
                            </a:path>
                          </a:pathLst>
                        </a:custGeom>
                        <a:solidFill>
                          <a:srgbClr val="F0F0F0"/>
                        </a:solidFill>
                      </wps:spPr>
                      <wps:bodyPr wrap="square" lIns="0" tIns="0" rIns="0" bIns="0" rtlCol="0">
                        <a:prstTxWarp prst="textNoShape">
                          <a:avLst/>
                        </a:prstTxWarp>
                      </wps:bodyPr>
                    </wps:wsp>
                  </a:graphicData>
                </a:graphic>
              </wp:anchor>
            </w:drawing>
          </mc:Choice>
          <mc:Fallback>
            <w:pict>
              <v:rect id="_x0000_s1047" style="width:12.5pt;height:12.5pt;margin-top:0.32pt;margin-left:136pt;mso-position-horizontal-relative:page;position:absolute;z-index:251679744" filled="t" fillcolor="#f0f0f0" stroked="f">
                <v:fill type="solid"/>
              </v:rect>
            </w:pict>
          </mc:Fallback>
        </mc:AlternateContent>
      </w:r>
      <w:r>
        <w:rPr>
          <w:spacing w:val="-5"/>
          <w:sz w:val="16"/>
        </w:rPr>
        <w:t>No</w:t>
      </w:r>
    </w:p>
    <w:p>
      <w:pPr>
        <w:pStyle w:val="BodyText"/>
        <w:spacing w:before="15"/>
        <w:rPr>
          <w:sz w:val="20"/>
        </w:rPr>
      </w:pPr>
      <w:r>
        <w:rPr>
          <w:sz w:val="20"/>
        </w:rPr>
        <w:drawing>
          <wp:anchor distT="0" distB="0" distL="0" distR="0" simplePos="0" relativeHeight="251741184" behindDoc="1" locked="0" layoutInCell="1" allowOverlap="1">
            <wp:simplePos x="0" y="0"/>
            <wp:positionH relativeFrom="page">
              <wp:posOffset>355600</wp:posOffset>
            </wp:positionH>
            <wp:positionV relativeFrom="paragraph">
              <wp:posOffset>171143</wp:posOffset>
            </wp:positionV>
            <wp:extent cx="1161478" cy="408431"/>
            <wp:effectExtent l="0" t="0" r="0" b="0"/>
            <wp:wrapTopAndBottom/>
            <wp:docPr id="30" name="Image 30"/>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xmlns:r="http://schemas.openxmlformats.org/officeDocument/2006/relationships" r:embed="rId10" cstate="print"/>
                    <a:stretch>
                      <a:fillRect/>
                    </a:stretch>
                  </pic:blipFill>
                  <pic:spPr>
                    <a:xfrm>
                      <a:off x="0" y="0"/>
                      <a:ext cx="1161478" cy="408431"/>
                    </a:xfrm>
                    <a:prstGeom prst="rect">
                      <a:avLst/>
                    </a:prstGeom>
                  </pic:spPr>
                </pic:pic>
              </a:graphicData>
            </a:graphic>
          </wp:anchor>
        </w:drawing>
      </w:r>
      <w:r>
        <w:rPr>
          <w:sz w:val="20"/>
        </w:rPr>
        <mc:AlternateContent>
          <mc:Choice Requires="wps">
            <w:drawing>
              <wp:anchor distT="0" distB="0" distL="0" distR="0" simplePos="0" relativeHeight="251742208" behindDoc="1" locked="0" layoutInCell="1" allowOverlap="1">
                <wp:simplePos x="0" y="0"/>
                <wp:positionH relativeFrom="page">
                  <wp:posOffset>1625600</wp:posOffset>
                </wp:positionH>
                <wp:positionV relativeFrom="paragraph">
                  <wp:posOffset>171143</wp:posOffset>
                </wp:positionV>
                <wp:extent cx="5570220" cy="234950"/>
                <wp:effectExtent l="0" t="0" r="0" b="0"/>
                <wp:wrapTopAndBottom/>
                <wp:docPr id="31" name="Textbox 31"/>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Quale strategia di investimento segue questo prodotto finanziario?</w:t>
                            </w:r>
                          </w:p>
                        </w:txbxContent>
                      </wps:txbx>
                      <wps:bodyPr wrap="square" lIns="0" tIns="0" rIns="0" bIns="0" rtlCol="0"/>
                    </wps:wsp>
                  </a:graphicData>
                </a:graphic>
              </wp:anchor>
            </w:drawing>
          </mc:Choice>
          <mc:Fallback>
            <w:pict>
              <v:shape id="_x0000_s1048" type="#_x0000_t202" style="width:438.6pt;height:18.5pt;margin-top:13.48pt;margin-left:128pt;mso-position-horizontal-relative:page;mso-wrap-distance-left:0;mso-wrap-distance-right:0;position:absolute;z-index:-251573248" filled="t" fillcolor="#efefef" stroked="f">
                <v:fill type="solid"/>
                <v:textbox inset="0,0,0,0">
                  <w:txbxContent>
                    <w:p>
                      <w:pPr>
                        <w:pStyle w:val="BodyText"/>
                        <w:spacing w:line="201" w:lineRule="exact"/>
                      </w:pPr>
                      <w:r>
                        <w:t>Quale strategia di investimento segue questo prodotto finanziario?</w:t>
                      </w:r>
                    </w:p>
                  </w:txbxContent>
                </v:textbox>
                <w10:wrap type="topAndBottom"/>
              </v:shape>
            </w:pict>
          </mc:Fallback>
        </mc:AlternateContent>
      </w:r>
    </w:p>
    <w:p>
      <w:pPr>
        <w:pStyle w:val="BodyText"/>
        <w:spacing w:before="8" w:line="264" w:lineRule="auto"/>
        <w:ind w:left="2135" w:right="629"/>
      </w:pPr>
      <w:r>
        <w:rPr>
          <w:sz w:val="16"/>
        </w:rPr>
        <w:t>L’obiettivo di investimento del prodotto finanziario è quello di replicare la performance, al lordo delle commissioni e delle spese, dell’“Indice di Riferimento”, ovvero l’indice S&amp;P 500 Equal Weight Scored &amp; Screened, concepito per riflettere la performance delle azioni di società a grande capitalizzazione che rappresentano tutti i principali settori industriali statunitensi e che soddisfano determinati criteri ambientali, sociali e di governance (“ESG”).</w:t>
      </w:r>
    </w:p>
    <w:p>
      <w:pPr>
        <w:pStyle w:val="BodyText"/>
        <w:spacing w:line="264" w:lineRule="auto"/>
        <w:ind w:left="2135" w:right="839"/>
      </w:pPr>
      <w:r>
        <mc:AlternateContent>
          <mc:Choice Requires="wps">
            <w:drawing>
              <wp:anchor distT="0" distB="0" distL="0" distR="0" simplePos="0" relativeHeight="251680768" behindDoc="0" locked="0" layoutInCell="1" allowOverlap="1">
                <wp:simplePos x="0" y="0"/>
                <wp:positionH relativeFrom="page">
                  <wp:posOffset>355600</wp:posOffset>
                </wp:positionH>
                <wp:positionV relativeFrom="paragraph">
                  <wp:posOffset>-490170</wp:posOffset>
                </wp:positionV>
                <wp:extent cx="1168400" cy="949960"/>
                <wp:effectExtent l="0" t="0" r="0" b="0"/>
                <wp:wrapNone/>
                <wp:docPr id="32" name="Textbox 32"/>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949960"/>
                        </a:xfrm>
                        <a:prstGeom prst="rect">
                          <a:avLst/>
                        </a:prstGeom>
                        <a:solidFill>
                          <a:srgbClr val="EFEFEF"/>
                        </a:solidFill>
                      </wps:spPr>
                      <wps:txbx>
                        <w:txbxContent>
                          <w:p>
                            <w:pPr>
                              <w:spacing w:before="0" w:line="264" w:lineRule="auto"/>
                              <w:ind w:left="0" w:right="195" w:firstLine="0"/>
                              <w:jc w:val="left"/>
                              <w:rPr>
                                <w:sz w:val="16"/>
                              </w:rPr>
                            </w:pPr>
                            <w:r>
                              <w:rPr>
                                <w:b/>
                                <w:sz w:val="15"/>
                              </w:rPr>
                              <w:t xml:space="preserve">La strategia di investimento </w:t>
                            </w:r>
                            <w:r>
                              <w:rPr>
                                <w:sz w:val="15"/>
                              </w:rPr>
                              <w:t>guida le decisioni di investimento sulla base di fattori quali gli obiettivi di investimento e la tolleranza al rischio.</w:t>
                            </w:r>
                          </w:p>
                        </w:txbxContent>
                      </wps:txbx>
                      <wps:bodyPr wrap="square" lIns="0" tIns="0" rIns="0" bIns="0" rtlCol="0"/>
                    </wps:wsp>
                  </a:graphicData>
                </a:graphic>
              </wp:anchor>
            </w:drawing>
          </mc:Choice>
          <mc:Fallback>
            <w:pict>
              <v:shape id="_x0000_s1049" type="#_x0000_t202" style="width:92pt;height:74.8pt;margin-top:-38.6pt;margin-left:28pt;mso-position-horizontal-relative:page;position:absolute;z-index:251681792" filled="t" fillcolor="#efefef" stroked="f">
                <v:fill type="solid"/>
                <v:textbox inset="0,0,0,0">
                  <w:txbxContent>
                    <w:p>
                      <w:pPr>
                        <w:spacing w:before="0" w:line="264" w:lineRule="auto"/>
                        <w:ind w:left="0" w:right="195" w:firstLine="0"/>
                        <w:jc w:val="left"/>
                        <w:rPr>
                          <w:sz w:val="16"/>
                        </w:rPr>
                      </w:pPr>
                      <w:r>
                        <w:rPr>
                          <w:b/>
                          <w:sz w:val="16"/>
                        </w:rPr>
                        <w:t xml:space="preserve">La strategia di investimento </w:t>
                      </w:r>
                      <w:r>
                        <w:rPr>
                          <w:sz w:val="16"/>
                        </w:rPr>
                        <w:t>guida le decisioni di investimento sulla base di fattori quali gli obiettivi di investimento e la tolleranza al rischio.</w:t>
                      </w:r>
                    </w:p>
                  </w:txbxContent>
                </v:textbox>
              </v:shape>
            </w:pict>
          </mc:Fallback>
        </mc:AlternateContent>
      </w:r>
      <w:r>
        <w:rPr>
          <w:sz w:val="16"/>
        </w:rPr>
        <w:t>L’Indice di Riferimento si basa sull’S&amp;P 500 Equal Weight Index (l’«Indice Madre»), che è un indice a ponderazione uguale che riflette la performance delle azioni ordinarie a grande capitalizzazione di società quotate in borsa e attivamente negoziate sulle borse valori regolamentate degli Stati Uniti.</w:t>
      </w:r>
    </w:p>
    <w:p>
      <w:pPr>
        <w:pStyle w:val="BodyText"/>
        <w:spacing w:before="1"/>
        <w:rPr>
          <w:sz w:val="17"/>
        </w:rPr>
      </w:pPr>
      <w:r>
        <w:rPr>
          <w:sz w:val="17"/>
        </w:rPr>
        <mc:AlternateContent>
          <mc:Choice Requires="wps">
            <w:drawing>
              <wp:anchor distT="0" distB="0" distL="0" distR="0" simplePos="0" relativeHeight="251744256" behindDoc="1" locked="0" layoutInCell="1" allowOverlap="1">
                <wp:simplePos x="0" y="0"/>
                <wp:positionH relativeFrom="page">
                  <wp:posOffset>1625600</wp:posOffset>
                </wp:positionH>
                <wp:positionV relativeFrom="paragraph">
                  <wp:posOffset>140357</wp:posOffset>
                </wp:positionV>
                <wp:extent cx="5570220" cy="307340"/>
                <wp:effectExtent l="0" t="0" r="0" b="0"/>
                <wp:wrapTopAndBottom/>
                <wp:docPr id="33" name="Textbox 33"/>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535"/>
                            </w:pPr>
                            <w:r>
                              <w:rPr>
                                <w:sz w:val="16"/>
                              </w:rPr>
                              <w:t>Quali sono gli elementi vincolanti della strategia di investimento utilizzati per selezionare gli investimenti al fine di raggiungere ciascuna delle caratteristiche ambientali o sociali promosse da questo prodotto finanziario?</w:t>
                            </w:r>
                          </w:p>
                        </w:txbxContent>
                      </wps:txbx>
                      <wps:bodyPr wrap="square" lIns="0" tIns="0" rIns="0" bIns="0" rtlCol="0"/>
                    </wps:wsp>
                  </a:graphicData>
                </a:graphic>
              </wp:anchor>
            </w:drawing>
          </mc:Choice>
          <mc:Fallback>
            <w:pict>
              <v:shape id="_x0000_s1050" type="#_x0000_t202" style="width:438.6pt;height:24.2pt;margin-top:11.05pt;margin-left:128pt;mso-position-horizontal-relative:page;mso-wrap-distance-left:0;mso-wrap-distance-right:0;position:absolute;z-index:-251571200" filled="t" fillcolor="#efefef" stroked="f">
                <v:fill type="solid"/>
                <v:textbox inset="0,0,0,0">
                  <w:txbxContent>
                    <w:p>
                      <w:pPr>
                        <w:pStyle w:val="BodyText"/>
                        <w:spacing w:line="264" w:lineRule="auto"/>
                        <w:ind w:right="535"/>
                      </w:pPr>
                      <w:r>
                        <w:t>Quali sono gli elementi vincolanti della strategia di investimento utilizzati per selezionare gli investimenti al fine di conseguire ciascuna delle caratteristiche ambientali o sociali promosse da questo prodotto finanziario?</w:t>
                      </w:r>
                    </w:p>
                  </w:txbxContent>
                </v:textbox>
                <w10:wrap type="topAndBottom"/>
              </v:shape>
            </w:pict>
          </mc:Fallback>
        </mc:AlternateContent>
      </w:r>
    </w:p>
    <w:p>
      <w:pPr>
        <w:pStyle w:val="BodyText"/>
        <w:spacing w:before="54" w:line="264" w:lineRule="auto"/>
        <w:ind w:left="2135" w:right="629"/>
      </w:pPr>
      <w:r>
        <w:rPr>
          <w:sz w:val="16"/>
        </w:rPr>
        <w:t>L’obiettivo di investimento del prodotto finanziario è quello di replicare la performance, al lordo delle commissioni e delle spese, dell’Indice di Riferimento, che esclude dall’Indice Principale le società che non soddisfano specifici criteri ESG, inclusi, a titolo esemplificativo ma non esaustivo:</w:t>
      </w:r>
    </w:p>
    <w:p>
      <w:pPr>
        <w:pStyle w:val="BodyText"/>
        <w:spacing w:after="0" w:line="264" w:lineRule="auto"/>
        <w:sectPr>
          <w:pgSz w:w="11910" w:h="16840"/>
          <w:pgMar w:top="700" w:right="566" w:bottom="280" w:left="425" w:header="708" w:footer="708"/>
          <w:cols w:space="708"/>
        </w:sectPr>
      </w:pPr>
    </w:p>
    <w:p>
      <w:pPr>
        <w:pStyle w:val="ListParagraph"/>
        <w:numPr>
          <w:ilvl w:val="0"/>
          <w:numId w:val="4"/>
        </w:numPr>
        <w:tabs>
          <w:tab w:val="left" w:pos="2244"/>
        </w:tabs>
        <w:spacing w:before="81" w:after="0" w:line="264" w:lineRule="auto"/>
        <w:ind w:left="2135" w:right="802" w:firstLine="0"/>
        <w:jc w:val="left"/>
        <w:rPr>
          <w:sz w:val="18"/>
        </w:rPr>
      </w:pPr>
      <w:r>
        <w:rPr>
          <w:sz w:val="16"/>
        </w:rPr>
        <w:t>che non dispongono di un punteggio ESG di S&amp;P Global, o con un punteggio ESG di S&amp;P Global che rientra nel 25% peggiore dei punteggi ESG di ciascun gruppo settoriale GICS, come calcolato da Sustainable1 utilizzando il CSA (Corporate Sustainability Assessment) di una società, derivato da dati forniti dalla società stessa, da informazioni disponibili al pubblico o da una combinazione di entrambi;</w:t>
      </w:r>
    </w:p>
    <w:p>
      <w:pPr>
        <w:pStyle w:val="ListParagraph"/>
        <w:numPr>
          <w:ilvl w:val="0"/>
          <w:numId w:val="4"/>
        </w:numPr>
        <w:tabs>
          <w:tab w:val="left" w:pos="2238"/>
        </w:tabs>
        <w:spacing w:before="0" w:after="0" w:line="264" w:lineRule="auto"/>
        <w:ind w:left="2135" w:right="686" w:firstLine="0"/>
        <w:jc w:val="left"/>
        <w:rPr>
          <w:sz w:val="18"/>
        </w:rPr>
      </w:pPr>
      <w:r>
        <w:rPr>
          <w:sz w:val="16"/>
        </w:rPr>
        <w:t>che sono classificate dagli S&amp;P Global Business Involvement Screens come società che superano determinate soglie relative ad attività controverse, tra cui, a titolo esemplificativo ma non esaustivo, tabacco, armi controverse e carbone termico; e/o</w:t>
      </w:r>
    </w:p>
    <w:p>
      <w:pPr>
        <w:pStyle w:val="ListParagraph"/>
        <w:numPr>
          <w:ilvl w:val="0"/>
          <w:numId w:val="4"/>
        </w:numPr>
        <w:tabs>
          <w:tab w:val="left" w:pos="2248"/>
        </w:tabs>
        <w:spacing w:before="0" w:after="0" w:line="264" w:lineRule="auto"/>
        <w:ind w:left="2135" w:right="643" w:firstLine="0"/>
        <w:jc w:val="left"/>
        <w:rPr>
          <w:sz w:val="18"/>
        </w:rPr>
      </w:pPr>
      <w:r>
        <w:rPr>
          <w:sz w:val="16"/>
        </w:rPr>
        <w:t>Presentano un punteggio del Global Compact delle Nazioni Unite (UNGC) che comporta l’esclusione (ovvero società che non agiscono in conformità con i principi dell’UNGC e con gli standard, le convenzioni e i trattati ad essi associati, come determinato da Sustainalytics).</w:t>
      </w:r>
    </w:p>
    <w:p>
      <w:pPr>
        <w:pStyle w:val="BodyText"/>
        <w:spacing w:before="13"/>
      </w:pPr>
    </w:p>
    <w:p>
      <w:pPr>
        <w:pStyle w:val="BodyText"/>
        <w:spacing w:line="264" w:lineRule="auto"/>
        <w:ind w:left="2135" w:right="629"/>
      </w:pPr>
      <w:r>
        <w:rPr>
          <w:sz w:val="16"/>
        </w:rPr>
        <w:t>L’Indice di Riferimento utilizza i rating aziendali e le ricerche fornite da Sustainable1, una divisione aziendale di S&amp;P Global specializzata nella fornitura di analisi approfondite in materia di sostenibilità. In particolare, vengono utilizzate le seguenti due componenti:</w:t>
      </w:r>
    </w:p>
    <w:p>
      <w:pPr>
        <w:pStyle w:val="BodyText"/>
        <w:spacing w:before="18"/>
      </w:pPr>
    </w:p>
    <w:p>
      <w:pPr>
        <w:spacing w:before="0"/>
        <w:ind w:left="2135" w:right="0" w:firstLine="0"/>
        <w:jc w:val="left"/>
        <w:rPr>
          <w:i/>
          <w:sz w:val="18"/>
        </w:rPr>
      </w:pPr>
      <w:r>
        <w:rPr>
          <w:i/>
          <w:sz w:val="16"/>
        </w:rPr>
        <w:t>Punteggi ESG di S&amp;P Global</w:t>
      </w:r>
    </w:p>
    <w:p>
      <w:pPr>
        <w:pStyle w:val="BodyText"/>
        <w:spacing w:before="40"/>
        <w:rPr>
          <w:i/>
        </w:rPr>
      </w:pPr>
    </w:p>
    <w:p>
      <w:pPr>
        <w:pStyle w:val="BodyText"/>
        <w:spacing w:line="264" w:lineRule="auto"/>
        <w:ind w:left="2135" w:right="629"/>
      </w:pPr>
      <w:r>
        <w:rPr>
          <w:sz w:val="16"/>
        </w:rPr>
        <w:t>I punteggi ESG di S&amp;P Global forniscono ricerche e rating che misurano le prestazioni di un’azienda e la sua gestione dei rischi e delle opportunità ambientali, sociali e di governance. I punteggi ESG di S&amp;P Global forniscono un rating ESG complessivo dell’azienda. Per maggiori dettagli sui punteggi ESG di S&amp;P Global, si prega di fare riferimento a: Soluzioni Sustainable1: Punteggi ESG | S&amp;P Global (spglobal.com)</w:t>
      </w:r>
    </w:p>
    <w:p>
      <w:pPr>
        <w:pStyle w:val="BodyText"/>
        <w:spacing w:before="17"/>
      </w:pPr>
    </w:p>
    <w:p>
      <w:pPr>
        <w:spacing w:before="0"/>
        <w:ind w:left="2135" w:right="0" w:firstLine="0"/>
        <w:jc w:val="left"/>
        <w:rPr>
          <w:i/>
          <w:sz w:val="18"/>
        </w:rPr>
      </w:pPr>
      <w:r>
        <w:rPr>
          <w:i/>
          <w:sz w:val="16"/>
        </w:rPr>
        <w:t>S&amp;P Global Business Involvement Screens</w:t>
      </w:r>
    </w:p>
    <w:p>
      <w:pPr>
        <w:pStyle w:val="BodyText"/>
        <w:spacing w:before="40"/>
        <w:rPr>
          <w:i/>
        </w:rPr>
      </w:pPr>
    </w:p>
    <w:p>
      <w:pPr>
        <w:pStyle w:val="BodyText"/>
        <w:spacing w:line="264" w:lineRule="auto"/>
        <w:ind w:left="2135" w:right="629"/>
      </w:pPr>
      <w:r>
        <w:rPr>
          <w:sz w:val="16"/>
        </w:rPr>
        <w:t>Gli S&amp;P Global Business Involvement Screens mirano a consentire agli investitori di allineare i propri valori di investimento alla strategia di investimento, fornendo valutazioni dettagliate su aree di interesse comuni e individuando il livello di coinvolgimento. Per maggiori dettagli sugli S&amp;P Global Business Involvement Screens, si prega di consultare: Sustainable1 Solutions: Business Involvement Screens | S&amp;P Global (spglobal.com)</w:t>
      </w:r>
    </w:p>
    <w:p>
      <w:pPr>
        <w:pStyle w:val="BodyText"/>
        <w:spacing w:before="17"/>
      </w:pPr>
    </w:p>
    <w:p>
      <w:pPr>
        <w:pStyle w:val="BodyText"/>
        <w:spacing w:before="1" w:line="264" w:lineRule="auto"/>
        <w:ind w:left="2135" w:right="629"/>
      </w:pPr>
      <w:r>
        <w:rPr>
          <w:sz w:val="16"/>
        </w:rPr>
        <w:t xml:space="preserve">Sustainalytics, una società del gruppo Morningstar, è una delle principali società indipendenti di ricerca, rating e analisi in materia di ESG e governance aziendale che supporta gli investitori di tutto il mondo nello sviluppo e nell’attuazione di strategie di investimento responsabile. Le società non coperte da Sustainalytics non sono idonee all’inclusione nell’indice fino a quando non ricevono tale copertura. </w:t>
      </w:r>
      <w:r>
        <w:rPr>
          <w:sz w:val="16"/>
        </w:rPr>
        <w:t>Per ulteriori informazioni</w:t>
      </w:r>
      <w:r>
        <w:rPr>
          <w:sz w:val="16"/>
        </w:rPr>
        <w:t>, consultare</w:t>
      </w:r>
      <w:hyperlink r:id="rId11">
        <w:r>
          <w:rPr>
            <w:sz w:val="16"/>
          </w:rPr>
          <w:t xml:space="preserve"> http://www.sustainalytics.com/</w:t>
        </w:r>
      </w:hyperlink>
      <w:r>
        <w:rPr>
          <w:sz w:val="16"/>
        </w:rPr>
        <w:t>.</w:t>
      </w:r>
    </w:p>
    <w:p>
      <w:pPr>
        <w:pStyle w:val="BodyText"/>
        <w:spacing w:before="16"/>
      </w:pPr>
    </w:p>
    <w:p>
      <w:pPr>
        <w:pStyle w:val="BodyText"/>
        <w:spacing w:line="264" w:lineRule="auto"/>
        <w:ind w:left="2135" w:right="839"/>
      </w:pPr>
      <w:r>
        <w:rPr>
          <w:sz w:val="16"/>
        </w:rPr>
        <w:t>Inoltre, l’Indice di Riferimento si avvale di RepRisk, una società leader nel campo della scienza dei dati, per il filtraggio, lo screening e l’analisi quotidiani degli incidenti di rischio ESG e delle attività controverse relative alle società, che potrebbero comportare ulteriori esclusioni di società dall’Indice di Riferimento, secondo quanto stabilito dall’Amministratore dell’Indice</w:t>
      </w:r>
      <w:r>
        <w:rPr>
          <w:sz w:val="16"/>
        </w:rPr>
        <w:t>. Per ulteriori informazioni</w:t>
      </w:r>
      <w:r>
        <w:rPr>
          <w:sz w:val="16"/>
        </w:rPr>
        <w:t>, consultare</w:t>
      </w:r>
      <w:hyperlink r:id="rId12">
        <w:r>
          <w:rPr>
            <w:sz w:val="16"/>
          </w:rPr>
          <w:t xml:space="preserve"> http://www.reprisk.com/</w:t>
        </w:r>
      </w:hyperlink>
      <w:r>
        <w:rPr>
          <w:sz w:val="16"/>
        </w:rPr>
        <w:t>.</w:t>
      </w:r>
    </w:p>
    <w:p>
      <w:pPr>
        <w:pStyle w:val="BodyText"/>
        <w:spacing w:before="7"/>
      </w:pPr>
    </w:p>
    <w:p>
      <w:pPr>
        <w:pStyle w:val="BodyText"/>
        <w:spacing w:before="1" w:line="264" w:lineRule="auto"/>
        <w:ind w:left="2135" w:right="689"/>
      </w:pPr>
      <w:r>
        <w:rPr>
          <w:sz w:val="16"/>
        </w:rPr>
        <w:t>Una volta esclusi i componenti, per ciascun gruppo settoriale GICS® vengono selezionate le società in ordine decrescente in base al punteggio ESG di S&amp;P Global, fino a raggiungere il 50% del numero di componenti dell’indice principale all’interno del gruppo settoriale. Successivamente, per ciascun gruppo settoriale GICS®, vengono selezionate le società già presenti che si collocano tra il 50% e il 70% del numero di componenti di quel gruppo settoriale GICS®, al fine di avvicinarsi il più possibile all’obiettivo del 60% del numero di componenti dell’indice principale. Se il numero di società selezionate non supera l’obiettivo del 60%, possono essere aggiunte società non ancora selezionate dall’universo ammissibile, in ordine decrescente in base al punteggio S&amp;P Global ESG, per avvicinarsi il più possibile all’obiettivo del 60%. Questo processo termina quando l’aggiunta della successiva società ammissibile comporterebbe un ulteriore allontanamento del numero totale dei componenti del relativo gruppo settoriale GICS® dall’obiettivo del 60%.</w:t>
      </w:r>
    </w:p>
    <w:p>
      <w:pPr>
        <w:pStyle w:val="BodyText"/>
        <w:spacing w:before="13"/>
      </w:pPr>
    </w:p>
    <w:p>
      <w:pPr>
        <w:pStyle w:val="BodyText"/>
        <w:spacing w:line="264" w:lineRule="auto"/>
        <w:ind w:left="2135" w:right="639"/>
      </w:pPr>
      <w:r>
        <w:rPr>
          <w:sz w:val="16"/>
        </w:rPr>
        <w:t>Gli investitori devono tenere presente che, sebbene il prodotto finanziario e l’Indice di Riferimento mirino a garantire il rispetto di tali criteri ad ogni data di ribilanciamento o revisione, tra una revisione e l’altra o tra un ribilanciamento e l’altro, i titoli che non soddisfano più tali criteri possono rimanere inclusi (i) nell’Indice di Riferimento fino a quando non vengono rimossi in occasione del successivo ribilanciamento o della successiva revisione oppure (ii) nel portafoglio del prodotto finanziario fino a quando non sia possibile e praticabile disinvestire tali posizioni.</w:t>
      </w:r>
    </w:p>
    <w:p>
      <w:pPr>
        <w:pStyle w:val="BodyText"/>
        <w:rPr>
          <w:sz w:val="20"/>
        </w:rPr>
      </w:pPr>
    </w:p>
    <w:p>
      <w:pPr>
        <w:pStyle w:val="BodyText"/>
        <w:rPr>
          <w:sz w:val="20"/>
        </w:rPr>
      </w:pPr>
    </w:p>
    <w:p>
      <w:pPr>
        <w:pStyle w:val="BodyText"/>
        <w:spacing w:before="185"/>
        <w:rPr>
          <w:sz w:val="20"/>
        </w:rPr>
      </w:pPr>
      <w:r>
        <w:rPr>
          <w:sz w:val="20"/>
        </w:rPr>
        <mc:AlternateContent>
          <mc:Choice Requires="wps">
            <w:drawing>
              <wp:anchor distT="0" distB="0" distL="0" distR="0" simplePos="0" relativeHeight="251746304" behindDoc="1" locked="0" layoutInCell="1" allowOverlap="1">
                <wp:simplePos x="0" y="0"/>
                <wp:positionH relativeFrom="page">
                  <wp:posOffset>1625600</wp:posOffset>
                </wp:positionH>
                <wp:positionV relativeFrom="paragraph">
                  <wp:posOffset>279147</wp:posOffset>
                </wp:positionV>
                <wp:extent cx="5570220" cy="307340"/>
                <wp:effectExtent l="0" t="0" r="0" b="0"/>
                <wp:wrapTopAndBottom/>
                <wp:docPr id="34" name="Textbox 34"/>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Qual è il tasso minimo impegnato per ridurre l’ambito degli investimenti presi in considerazione prima dell’applicazione di tale strategia di investimento?</w:t>
                            </w:r>
                          </w:p>
                        </w:txbxContent>
                      </wps:txbx>
                      <wps:bodyPr wrap="square" lIns="0" tIns="0" rIns="0" bIns="0" rtlCol="0"/>
                    </wps:wsp>
                  </a:graphicData>
                </a:graphic>
              </wp:anchor>
            </w:drawing>
          </mc:Choice>
          <mc:Fallback>
            <w:pict>
              <v:shape id="_x0000_s1051" type="#_x0000_t202" style="width:438.6pt;height:24.2pt;margin-top:21.98pt;margin-left:128pt;mso-position-horizontal-relative:page;mso-wrap-distance-left:0;mso-wrap-distance-right:0;position:absolute;z-index:-251569152" filled="t" fillcolor="#efefef" stroked="f">
                <v:fill type="solid"/>
                <v:textbox inset="0,0,0,0">
                  <w:txbxContent>
                    <w:p>
                      <w:pPr>
                        <w:pStyle w:val="BodyText"/>
                        <w:spacing w:line="264" w:lineRule="auto"/>
                        <w:ind w:right="629"/>
                      </w:pPr>
                      <w:r>
                        <w:t>Qual è il tasso minimo garantito per ridurre l’ambito degli investimenti presi in considerazione prima dell’applicazione di tale strategia di investimento?</w:t>
                      </w:r>
                    </w:p>
                  </w:txbxContent>
                </v:textbox>
                <w10:wrap type="topAndBottom"/>
              </v:shape>
            </w:pict>
          </mc:Fallback>
        </mc:AlternateContent>
      </w:r>
    </w:p>
    <w:p>
      <w:pPr>
        <w:pStyle w:val="BodyText"/>
        <w:spacing w:before="74"/>
      </w:pPr>
    </w:p>
    <w:p>
      <w:pPr>
        <w:pStyle w:val="BodyText"/>
        <w:spacing w:line="264" w:lineRule="auto"/>
        <w:ind w:left="2135"/>
      </w:pPr>
      <w:r>
        <w:rPr>
          <w:sz w:val="16"/>
        </w:rPr>
        <w:t>Il prodotto finanziario non persegue un tasso minimo impegnato per ridurre l’ambito degli investimenti presi in considerazione prima dell’applicazione della strategia di investimento.</w:t>
      </w:r>
    </w:p>
    <w:p>
      <w:pPr>
        <w:pStyle w:val="BodyText"/>
        <w:spacing w:after="0" w:line="264" w:lineRule="auto"/>
        <w:sectPr>
          <w:pgSz w:w="11910" w:h="16840"/>
          <w:pgMar w:top="560" w:right="566" w:bottom="280" w:left="425" w:header="708" w:footer="708"/>
          <w:cols w:space="708"/>
        </w:sectPr>
      </w:pPr>
    </w:p>
    <w:p>
      <w:pPr>
        <w:spacing w:line="240" w:lineRule="auto"/>
        <w:ind w:left="2135" w:right="-44" w:firstLine="0"/>
        <w:rPr>
          <w:sz w:val="20"/>
        </w:rPr>
      </w:pPr>
      <w:r>
        <w:rPr>
          <w:sz w:val="20"/>
        </w:rPr>
        <mc:AlternateContent>
          <mc:Choice Requires="wps">
            <w:drawing>
              <wp:inline distT="0" distB="0" distL="0" distR="0">
                <wp:extent cx="5570220" cy="234950"/>
                <wp:effectExtent l="0" t="0" r="0" b="0"/>
                <wp:docPr id="35" name="Textbox 35"/>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Qual è la politica per valutare le buone pratiche di governance delle società partecipate?</w:t>
                            </w:r>
                          </w:p>
                        </w:txbxContent>
                      </wps:txbx>
                      <wps:bodyPr wrap="square" lIns="0" tIns="0" rIns="0" bIns="0" rtlCol="0"/>
                    </wps:wsp>
                  </a:graphicData>
                </a:graphic>
              </wp:inline>
            </w:drawing>
          </mc:Choice>
          <mc:Fallback>
            <w:pict>
              <v:shape id="_x0000_i1052" type="#_x0000_t202" style="width:438.6pt;height:18.5pt;mso-position-horizontal-relative:char;mso-position-vertical-relative:line" filled="t" fillcolor="#efefef" stroked="f">
                <v:fill type="solid"/>
                <v:textbox inset="0,0,0,0">
                  <w:txbxContent>
                    <w:p>
                      <w:pPr>
                        <w:pStyle w:val="BodyText"/>
                        <w:spacing w:line="201" w:lineRule="exact"/>
                      </w:pPr>
                      <w:r>
                        <w:t>Qual è la politica per valutare le buone pratiche di governance delle società partecipate?</w:t>
                      </w:r>
                    </w:p>
                  </w:txbxContent>
                </v:textbox>
                <w10:anchorlock/>
              </v:shape>
            </w:pict>
          </mc:Fallback>
        </mc:AlternateContent>
      </w:r>
    </w:p>
    <w:p>
      <w:pPr>
        <w:pStyle w:val="BodyText"/>
        <w:spacing w:before="41" w:line="264" w:lineRule="auto"/>
        <w:ind w:left="2135" w:right="639"/>
      </w:pPr>
      <w:r>
        <mc:AlternateContent>
          <mc:Choice Requires="wps">
            <w:drawing>
              <wp:anchor distT="0" distB="0" distL="0" distR="0" simplePos="0" relativeHeight="251688960" behindDoc="0" locked="0" layoutInCell="1" allowOverlap="1">
                <wp:simplePos x="0" y="0"/>
                <wp:positionH relativeFrom="page">
                  <wp:posOffset>355600</wp:posOffset>
                </wp:positionH>
                <wp:positionV relativeFrom="paragraph">
                  <wp:posOffset>-243204</wp:posOffset>
                </wp:positionV>
                <wp:extent cx="1168400" cy="949960"/>
                <wp:effectExtent l="0" t="0" r="0" b="0"/>
                <wp:wrapNone/>
                <wp:docPr id="36" name="Textbox 36"/>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949960"/>
                        </a:xfrm>
                        <a:prstGeom prst="rect">
                          <a:avLst/>
                        </a:prstGeom>
                        <a:solidFill>
                          <a:srgbClr val="EFEFEF"/>
                        </a:solidFill>
                      </wps:spPr>
                      <wps:txbx>
                        <w:txbxContent>
                          <w:p>
                            <w:pPr>
                              <w:spacing w:before="0" w:line="264" w:lineRule="auto"/>
                              <w:ind w:left="0" w:right="166" w:firstLine="0"/>
                              <w:jc w:val="left"/>
                              <w:rPr>
                                <w:sz w:val="16"/>
                              </w:rPr>
                            </w:pPr>
                            <w:r>
                              <w:rPr>
                                <w:sz w:val="15"/>
                              </w:rPr>
                              <w:t>Le</w:t>
                            </w:r>
                            <w:r>
                              <w:rPr>
                                <w:b/>
                                <w:sz w:val="15"/>
                              </w:rPr>
                              <w:t xml:space="preserve"> buone </w:t>
                            </w:r>
                            <w:r>
                              <w:rPr>
                                <w:sz w:val="15"/>
                              </w:rPr>
                              <w:t>pratiche</w:t>
                            </w:r>
                            <w:r>
                              <w:rPr>
                                <w:b/>
                                <w:sz w:val="15"/>
                              </w:rPr>
                              <w:t xml:space="preserve"> di governance </w:t>
                            </w:r>
                            <w:r>
                              <w:rPr>
                                <w:sz w:val="15"/>
                              </w:rPr>
                              <w:t>includono solide strutture gestionali, relazioni con i dipendenti, remunerazione del personale e conformità fiscale.</w:t>
                            </w:r>
                          </w:p>
                        </w:txbxContent>
                      </wps:txbx>
                      <wps:bodyPr wrap="square" lIns="0" tIns="0" rIns="0" bIns="0" rtlCol="0"/>
                    </wps:wsp>
                  </a:graphicData>
                </a:graphic>
              </wp:anchor>
            </w:drawing>
          </mc:Choice>
          <mc:Fallback>
            <w:pict>
              <v:shape id="_x0000_s1053" type="#_x0000_t202" style="width:92pt;height:74.8pt;margin-top:-19.15pt;margin-left:28pt;mso-position-horizontal-relative:page;position:absolute;z-index:251689984" filled="t" fillcolor="#efefef" stroked="f">
                <v:fill type="solid"/>
                <v:textbox inset="0,0,0,0">
                  <w:txbxContent>
                    <w:p>
                      <w:pPr>
                        <w:spacing w:before="0" w:line="264" w:lineRule="auto"/>
                        <w:ind w:left="0" w:right="166" w:firstLine="0"/>
                        <w:jc w:val="left"/>
                        <w:rPr>
                          <w:sz w:val="16"/>
                        </w:rPr>
                      </w:pPr>
                      <w:r>
                        <w:rPr>
                          <w:sz w:val="16"/>
                        </w:rPr>
                        <w:t>Le</w:t>
                      </w:r>
                      <w:r>
                        <w:rPr>
                          <w:b/>
                          <w:sz w:val="16"/>
                        </w:rPr>
                        <w:t xml:space="preserve"> buone </w:t>
                      </w:r>
                      <w:r>
                        <w:rPr>
                          <w:sz w:val="16"/>
                        </w:rPr>
                        <w:t>pratiche</w:t>
                      </w:r>
                      <w:r>
                        <w:rPr>
                          <w:b/>
                          <w:sz w:val="16"/>
                        </w:rPr>
                        <w:t xml:space="preserve"> di governance </w:t>
                      </w:r>
                      <w:r>
                        <w:rPr>
                          <w:sz w:val="16"/>
                        </w:rPr>
                        <w:t>comprendono solide strutture gestionali, relazioni con i dipendenti, remunerazione del personale e adempimento degli obblighi fiscali.</w:t>
                      </w:r>
                    </w:p>
                  </w:txbxContent>
                </v:textbox>
              </v:shape>
            </w:pict>
          </mc:Fallback>
        </mc:AlternateContent>
      </w:r>
      <w:r>
        <w:rPr>
          <w:sz w:val="16"/>
        </w:rPr>
        <w:t>L’obiettivo di investimento del prodotto finanziario è quello di replicare la performance, al lordo delle commissioni e delle spese, dell’Indice di Riferimento, che esclude le società che violano determinati standard normativi internazionali (comprese le controversie in materia di governance) utilizzando i dati ESG di Sustainalytics, nonché le società che presentano un S&amp;P Global ESG Score (che valuta, tra l’altro, l’efficacia con cui le società gestiscono i rischi e le opportunità di governance) al di sotto di una determinata soglia o per le quali mancano dati ESG.</w:t>
      </w:r>
    </w:p>
    <w:p>
      <w:pPr>
        <w:pStyle w:val="BodyText"/>
        <w:spacing w:before="58"/>
        <w:rPr>
          <w:sz w:val="20"/>
        </w:rPr>
      </w:pPr>
      <w:r>
        <w:rPr>
          <w:sz w:val="20"/>
        </w:rPr>
        <w:drawing>
          <wp:anchor distT="0" distB="0" distL="0" distR="0" simplePos="0" relativeHeight="251748352" behindDoc="1" locked="0" layoutInCell="1" allowOverlap="1">
            <wp:simplePos x="0" y="0"/>
            <wp:positionH relativeFrom="page">
              <wp:posOffset>355600</wp:posOffset>
            </wp:positionH>
            <wp:positionV relativeFrom="paragraph">
              <wp:posOffset>198498</wp:posOffset>
            </wp:positionV>
            <wp:extent cx="1117050" cy="408431"/>
            <wp:effectExtent l="0" t="0" r="0" b="0"/>
            <wp:wrapTopAndBottom/>
            <wp:docPr id="37" name="Image 37"/>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xmlns:r="http://schemas.openxmlformats.org/officeDocument/2006/relationships" r:embed="rId13" cstate="print"/>
                    <a:stretch>
                      <a:fillRect/>
                    </a:stretch>
                  </pic:blipFill>
                  <pic:spPr>
                    <a:xfrm>
                      <a:off x="0" y="0"/>
                      <a:ext cx="1117050" cy="408431"/>
                    </a:xfrm>
                    <a:prstGeom prst="rect">
                      <a:avLst/>
                    </a:prstGeom>
                  </pic:spPr>
                </pic:pic>
              </a:graphicData>
            </a:graphic>
          </wp:anchor>
        </w:drawing>
      </w:r>
      <w:r>
        <w:rPr>
          <w:sz w:val="20"/>
        </w:rPr>
        <mc:AlternateContent>
          <mc:Choice Requires="wps">
            <w:drawing>
              <wp:anchor distT="0" distB="0" distL="0" distR="0" simplePos="0" relativeHeight="251749376" behindDoc="1" locked="0" layoutInCell="1" allowOverlap="1">
                <wp:simplePos x="0" y="0"/>
                <wp:positionH relativeFrom="page">
                  <wp:posOffset>1625600</wp:posOffset>
                </wp:positionH>
                <wp:positionV relativeFrom="paragraph">
                  <wp:posOffset>198498</wp:posOffset>
                </wp:positionV>
                <wp:extent cx="5570220" cy="234950"/>
                <wp:effectExtent l="0" t="0" r="0" b="0"/>
                <wp:wrapTopAndBottom/>
                <wp:docPr id="38" name="Textbox 38"/>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Qual è l’allocazione degli attivi prevista per questo prodotto finanziario?</w:t>
                            </w:r>
                          </w:p>
                        </w:txbxContent>
                      </wps:txbx>
                      <wps:bodyPr wrap="square" lIns="0" tIns="0" rIns="0" bIns="0" rtlCol="0"/>
                    </wps:wsp>
                  </a:graphicData>
                </a:graphic>
              </wp:anchor>
            </w:drawing>
          </mc:Choice>
          <mc:Fallback>
            <w:pict>
              <v:shape id="_x0000_s1054" type="#_x0000_t202" style="width:438.6pt;height:18.5pt;margin-top:15.63pt;margin-left:128pt;mso-position-horizontal-relative:page;mso-wrap-distance-left:0;mso-wrap-distance-right:0;position:absolute;z-index:-251566080" filled="t" fillcolor="#efefef" stroked="f">
                <v:fill type="solid"/>
                <v:textbox inset="0,0,0,0">
                  <w:txbxContent>
                    <w:p>
                      <w:pPr>
                        <w:pStyle w:val="BodyText"/>
                        <w:spacing w:line="201" w:lineRule="exact"/>
                      </w:pPr>
                      <w:r>
                        <w:t>Qual è l’allocazione degli attivi prevista per questo prodotto finanziario?</w:t>
                      </w:r>
                    </w:p>
                  </w:txbxContent>
                </v:textbox>
                <w10:wrap type="topAndBottom"/>
              </v:shape>
            </w:pict>
          </mc:Fallback>
        </mc:AlternateContent>
      </w:r>
    </w:p>
    <w:p>
      <w:pPr>
        <w:pStyle w:val="BodyText"/>
        <w:spacing w:before="28" w:line="264" w:lineRule="auto"/>
        <w:ind w:left="2135" w:right="839"/>
      </w:pPr>
      <w:r>
        <w:rPr>
          <w:sz w:val="16"/>
        </w:rPr>
        <w:t>Questo prodotto finanziario investe almeno il 90% del proprio patrimonio netto in investimenti allineati alle caratteristiche ambientali e sociali promosse (#1 Allineato alle caratteristiche E/S). All’interno di questa categoria, almeno il 10% del patrimonio del prodotto finanziario è classificato come investimento sostenibile (#1A Sostenibile).</w:t>
      </w:r>
    </w:p>
    <w:p>
      <w:pPr>
        <w:pStyle w:val="BodyText"/>
        <w:spacing w:before="17"/>
      </w:pPr>
    </w:p>
    <w:p>
      <w:pPr>
        <w:pStyle w:val="BodyText"/>
        <w:ind w:left="2135"/>
      </w:pPr>
      <w:r>
        <w:rPr>
          <w:sz w:val="16"/>
        </w:rPr>
        <w:t>Fino al 10% degli investimenti non è allineato a tali caratteristiche (#2 Altro).</w:t>
      </w:r>
    </w:p>
    <w:p>
      <w:pPr>
        <w:pStyle w:val="BodyText"/>
        <w:spacing w:before="82"/>
        <w:rPr>
          <w:sz w:val="20"/>
        </w:rPr>
      </w:pPr>
      <w:r>
        <w:rPr>
          <w:sz w:val="20"/>
        </w:rPr>
        <mc:AlternateContent>
          <mc:Choice Requires="wps">
            <w:drawing>
              <wp:anchor distT="0" distB="0" distL="0" distR="0" simplePos="0" relativeHeight="251751424" behindDoc="1" locked="0" layoutInCell="1" allowOverlap="1">
                <wp:simplePos x="0" y="0"/>
                <wp:positionH relativeFrom="page">
                  <wp:posOffset>355600</wp:posOffset>
                </wp:positionH>
                <wp:positionV relativeFrom="paragraph">
                  <wp:posOffset>213431</wp:posOffset>
                </wp:positionV>
                <wp:extent cx="1168400" cy="647700"/>
                <wp:effectExtent l="0" t="0" r="0" b="0"/>
                <wp:wrapTopAndBottom/>
                <wp:docPr id="39" name="Textbox 39"/>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647700"/>
                        </a:xfrm>
                        <a:prstGeom prst="rect">
                          <a:avLst/>
                        </a:prstGeom>
                        <a:solidFill>
                          <a:srgbClr val="EFEFEF"/>
                        </a:solidFill>
                      </wps:spPr>
                      <wps:txbx>
                        <w:txbxContent>
                          <w:p>
                            <w:pPr>
                              <w:spacing w:before="0" w:line="264" w:lineRule="auto"/>
                              <w:ind w:left="0" w:right="139" w:firstLine="0"/>
                              <w:jc w:val="left"/>
                              <w:rPr>
                                <w:sz w:val="16"/>
                              </w:rPr>
                            </w:pPr>
                            <w:r>
                              <w:rPr>
                                <w:b/>
                                <w:sz w:val="15"/>
                              </w:rPr>
                              <w:t xml:space="preserve">L’allocazione degli attivi </w:t>
                            </w:r>
                            <w:r>
                              <w:rPr>
                                <w:sz w:val="15"/>
                              </w:rPr>
                              <w:t>descrive la quota di investimenti in specifici attivi.</w:t>
                            </w:r>
                          </w:p>
                        </w:txbxContent>
                      </wps:txbx>
                      <wps:bodyPr wrap="square" lIns="0" tIns="0" rIns="0" bIns="0" rtlCol="0"/>
                    </wps:wsp>
                  </a:graphicData>
                </a:graphic>
              </wp:anchor>
            </w:drawing>
          </mc:Choice>
          <mc:Fallback>
            <w:pict>
              <v:shape id="_x0000_s1055" type="#_x0000_t202" style="width:92pt;height:51pt;margin-top:16.81pt;margin-left:28pt;mso-position-horizontal-relative:page;mso-wrap-distance-left:0;mso-wrap-distance-right:0;position:absolute;z-index:-251564032" filled="t" fillcolor="#efefef" stroked="f">
                <v:fill type="solid"/>
                <v:textbox inset="0,0,0,0">
                  <w:txbxContent>
                    <w:p>
                      <w:pPr>
                        <w:spacing w:before="0" w:line="264" w:lineRule="auto"/>
                        <w:ind w:left="0" w:right="139" w:firstLine="0"/>
                        <w:jc w:val="left"/>
                        <w:rPr>
                          <w:sz w:val="16"/>
                        </w:rPr>
                      </w:pPr>
                      <w:r>
                        <w:rPr>
                          <w:b/>
                          <w:sz w:val="16"/>
                        </w:rPr>
                        <w:t xml:space="preserve">L’allocazione degli attivi </w:t>
                      </w:r>
                      <w:r>
                        <w:rPr>
                          <w:sz w:val="16"/>
                        </w:rPr>
                        <w:t>descrive la quota di investimenti in specifici attivi.</w:t>
                      </w:r>
                    </w:p>
                  </w:txbxContent>
                </v:textbox>
                <w10:wrap type="topAndBottom"/>
              </v:shape>
            </w:pict>
          </mc:Fallback>
        </mc:AlternateContent>
      </w:r>
      <w:r>
        <w:rPr>
          <w:sz w:val="20"/>
        </w:rPr>
        <mc:AlternateContent>
          <mc:Choice Requires="wps">
            <w:drawing>
              <wp:anchor distT="0" distB="0" distL="0" distR="0" simplePos="0" relativeHeight="251754496" behindDoc="1" locked="0" layoutInCell="1" allowOverlap="1">
                <wp:simplePos x="0" y="0"/>
                <wp:positionH relativeFrom="page">
                  <wp:posOffset>355600</wp:posOffset>
                </wp:positionH>
                <wp:positionV relativeFrom="paragraph">
                  <wp:posOffset>962731</wp:posOffset>
                </wp:positionV>
                <wp:extent cx="1168400" cy="2617470"/>
                <wp:effectExtent l="0" t="0" r="0" b="0"/>
                <wp:wrapTopAndBottom/>
                <wp:docPr id="40" name="Textbox 40"/>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2617470"/>
                        </a:xfrm>
                        <a:prstGeom prst="rect">
                          <a:avLst/>
                        </a:prstGeom>
                        <a:solidFill>
                          <a:srgbClr val="EFEFEF"/>
                        </a:solidFill>
                      </wps:spPr>
                      <wps:txbx>
                        <w:txbxContent>
                          <w:p>
                            <w:pPr>
                              <w:spacing w:before="0" w:line="264" w:lineRule="auto"/>
                              <w:ind w:left="0" w:right="139" w:firstLine="0"/>
                              <w:jc w:val="left"/>
                              <w:rPr>
                                <w:sz w:val="16"/>
                              </w:rPr>
                            </w:pPr>
                            <w:r>
                              <w:rPr>
                                <w:sz w:val="15"/>
                              </w:rPr>
                              <w:t>Le attività allineate alla tassonomia sono espresse come quota di:</w:t>
                            </w:r>
                          </w:p>
                          <w:p>
                            <w:pPr>
                              <w:numPr>
                                <w:ilvl w:val="0"/>
                                <w:numId w:val="3"/>
                              </w:numPr>
                              <w:tabs>
                                <w:tab w:val="left" w:pos="96"/>
                              </w:tabs>
                              <w:spacing w:before="0" w:line="183" w:lineRule="exact"/>
                              <w:ind w:left="96" w:right="0" w:hanging="96"/>
                              <w:jc w:val="left"/>
                              <w:rPr>
                                <w:sz w:val="16"/>
                              </w:rPr>
                            </w:pPr>
                            <w:r>
                              <w:rPr>
                                <w:b/>
                                <w:spacing w:val="-2"/>
                                <w:sz w:val="15"/>
                              </w:rPr>
                              <w:t>fatturato</w:t>
                            </w:r>
                          </w:p>
                          <w:p>
                            <w:pPr>
                              <w:spacing w:before="12" w:line="264" w:lineRule="auto"/>
                              <w:ind w:left="0" w:right="139" w:firstLine="0"/>
                              <w:jc w:val="left"/>
                              <w:rPr>
                                <w:sz w:val="16"/>
                              </w:rPr>
                            </w:pPr>
                            <w:r>
                              <w:rPr>
                                <w:sz w:val="15"/>
                              </w:rPr>
                              <w:t>che riflette la quota di ricavi derivanti dalle attività verdi delle società partecipate</w:t>
                            </w:r>
                          </w:p>
                          <w:p>
                            <w:pPr>
                              <w:numPr>
                                <w:ilvl w:val="0"/>
                                <w:numId w:val="3"/>
                              </w:numPr>
                              <w:tabs>
                                <w:tab w:val="left" w:pos="96"/>
                              </w:tabs>
                              <w:spacing w:before="0" w:line="264" w:lineRule="auto"/>
                              <w:ind w:left="0" w:right="282" w:firstLine="0"/>
                              <w:jc w:val="left"/>
                              <w:rPr>
                                <w:sz w:val="16"/>
                              </w:rPr>
                            </w:pPr>
                            <w:r>
                              <w:rPr>
                                <w:b/>
                                <w:sz w:val="15"/>
                              </w:rPr>
                              <w:t xml:space="preserve">spese in conto capitale </w:t>
                            </w:r>
                            <w:r>
                              <w:rPr>
                                <w:sz w:val="15"/>
                              </w:rPr>
                              <w:t>(CapEx), che indicano gli investimenti verdi effettuati dalle società partecipate, ad esempio per la transizione verso un'economia verde.</w:t>
                            </w:r>
                          </w:p>
                          <w:p>
                            <w:pPr>
                              <w:numPr>
                                <w:ilvl w:val="0"/>
                                <w:numId w:val="3"/>
                              </w:numPr>
                              <w:tabs>
                                <w:tab w:val="left" w:pos="97"/>
                              </w:tabs>
                              <w:spacing w:before="0" w:line="264" w:lineRule="auto"/>
                              <w:ind w:left="0" w:right="877" w:firstLine="0"/>
                              <w:jc w:val="left"/>
                              <w:rPr>
                                <w:b/>
                                <w:sz w:val="16"/>
                              </w:rPr>
                            </w:pPr>
                            <w:r>
                              <w:rPr>
                                <w:b/>
                                <w:spacing w:val="-2"/>
                                <w:sz w:val="15"/>
                              </w:rPr>
                              <w:t>spese operative</w:t>
                            </w:r>
                          </w:p>
                          <w:p>
                            <w:pPr>
                              <w:spacing w:before="0" w:line="264" w:lineRule="auto"/>
                              <w:ind w:left="0" w:right="184" w:firstLine="0"/>
                              <w:jc w:val="both"/>
                              <w:rPr>
                                <w:sz w:val="16"/>
                              </w:rPr>
                            </w:pPr>
                            <w:r>
                              <w:rPr>
                                <w:sz w:val="15"/>
                              </w:rPr>
                              <w:t>(OpEx) che riflettono le attività operative verdi delle società partecipate.</w:t>
                            </w:r>
                          </w:p>
                        </w:txbxContent>
                      </wps:txbx>
                      <wps:bodyPr wrap="square" lIns="0" tIns="0" rIns="0" bIns="0" rtlCol="0"/>
                    </wps:wsp>
                  </a:graphicData>
                </a:graphic>
              </wp:anchor>
            </w:drawing>
          </mc:Choice>
          <mc:Fallback>
            <w:pict>
              <v:shape id="Textbox 40" o:spid="_x0000_s1056" type="#_x0000_t202" style="width:92pt;height:206.1pt;margin-top:75.81pt;margin-left:28pt;mso-position-horizontal-relative:page;mso-wrap-distance-bottom:0;mso-wrap-distance-left:0;mso-wrap-distance-right:0;mso-wrap-distance-top:0;position:absolute;v-text-anchor:top;z-index:-251563008" fillcolor="#efefef">
                <v:textbox inset="0,0,0,0">
                  <w:txbxContent>
                    <w:p>
                      <w:pPr>
                        <w:spacing w:before="0" w:line="264" w:lineRule="auto"/>
                        <w:ind w:left="0" w:right="139" w:firstLine="0"/>
                        <w:jc w:val="left"/>
                        <w:rPr>
                          <w:sz w:val="16"/>
                        </w:rPr>
                      </w:pPr>
                      <w:r>
                        <w:rPr>
                          <w:sz w:val="15"/>
                        </w:rPr>
                        <w:t>Le attività allineate alla tassonomia sono espresse come quota di:</w:t>
                      </w:r>
                    </w:p>
                    <w:p>
                      <w:pPr>
                        <w:numPr>
                          <w:ilvl w:val="0"/>
                          <w:numId w:val="3"/>
                        </w:numPr>
                        <w:tabs>
                          <w:tab w:val="left" w:pos="96"/>
                        </w:tabs>
                        <w:spacing w:before="0" w:line="183" w:lineRule="exact"/>
                        <w:ind w:left="96" w:right="0" w:hanging="96"/>
                        <w:jc w:val="left"/>
                        <w:rPr>
                          <w:sz w:val="16"/>
                        </w:rPr>
                      </w:pPr>
                      <w:r>
                        <w:rPr>
                          <w:b/>
                          <w:spacing w:val="-2"/>
                          <w:sz w:val="15"/>
                        </w:rPr>
                        <w:t>fatturato</w:t>
                      </w:r>
                    </w:p>
                    <w:p>
                      <w:pPr>
                        <w:spacing w:before="12" w:line="264" w:lineRule="auto"/>
                        <w:ind w:left="0" w:right="139" w:firstLine="0"/>
                        <w:jc w:val="left"/>
                        <w:rPr>
                          <w:sz w:val="16"/>
                        </w:rPr>
                      </w:pPr>
                      <w:r>
                        <w:rPr>
                          <w:sz w:val="15"/>
                        </w:rPr>
                        <w:t>che riflette la quota di ricavi derivanti dalle attività verdi delle società partecipate</w:t>
                      </w:r>
                    </w:p>
                    <w:p>
                      <w:pPr>
                        <w:numPr>
                          <w:ilvl w:val="0"/>
                          <w:numId w:val="3"/>
                        </w:numPr>
                        <w:tabs>
                          <w:tab w:val="left" w:pos="96"/>
                        </w:tabs>
                        <w:spacing w:before="0" w:line="264" w:lineRule="auto"/>
                        <w:ind w:left="0" w:right="282" w:firstLine="0"/>
                        <w:jc w:val="left"/>
                        <w:rPr>
                          <w:sz w:val="16"/>
                        </w:rPr>
                      </w:pPr>
                      <w:r>
                        <w:rPr>
                          <w:b/>
                          <w:sz w:val="15"/>
                        </w:rPr>
                        <w:t xml:space="preserve">spese in conto capitale </w:t>
                      </w:r>
                      <w:r>
                        <w:rPr>
                          <w:sz w:val="15"/>
                        </w:rPr>
                        <w:t>(CapEx), che indicano gli investimenti verdi effettuati dalle società partecipate, ad esempio per la transizione verso un'economia verde.</w:t>
                      </w:r>
                    </w:p>
                    <w:p>
                      <w:pPr>
                        <w:numPr>
                          <w:ilvl w:val="0"/>
                          <w:numId w:val="3"/>
                        </w:numPr>
                        <w:tabs>
                          <w:tab w:val="left" w:pos="97"/>
                        </w:tabs>
                        <w:spacing w:before="0" w:line="264" w:lineRule="auto"/>
                        <w:ind w:left="0" w:right="877" w:firstLine="0"/>
                        <w:jc w:val="left"/>
                        <w:rPr>
                          <w:b/>
                          <w:sz w:val="16"/>
                        </w:rPr>
                      </w:pPr>
                      <w:r>
                        <w:rPr>
                          <w:b/>
                          <w:spacing w:val="-2"/>
                          <w:sz w:val="15"/>
                        </w:rPr>
                        <w:t>spese operative</w:t>
                      </w:r>
                    </w:p>
                    <w:p>
                      <w:pPr>
                        <w:spacing w:before="0" w:line="264" w:lineRule="auto"/>
                        <w:ind w:left="0" w:right="184" w:firstLine="0"/>
                        <w:jc w:val="both"/>
                        <w:rPr>
                          <w:sz w:val="16"/>
                        </w:rPr>
                      </w:pPr>
                      <w:r>
                        <w:rPr>
                          <w:sz w:val="15"/>
                        </w:rPr>
                        <w:t>(OpEx) che riflettono le attività operative verdi delle società partecipate.</w:t>
                      </w:r>
                    </w:p>
                  </w:txbxContent>
                </v:textbox>
                <w10:wrap type="topAndBottom"/>
              </v:shape>
            </w:pict>
          </mc:Fallback>
        </mc:AlternateContent>
      </w:r>
    </w:p>
    <w:p>
      <w:pPr>
        <w:pStyle w:val="BodyText"/>
        <w:spacing w:before="9"/>
        <w:rPr>
          <w:sz w:val="11"/>
        </w:rPr>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54"/>
      </w:pPr>
    </w:p>
    <w:p>
      <w:pPr>
        <w:pStyle w:val="BodyText"/>
        <w:spacing w:line="264" w:lineRule="auto"/>
        <w:ind w:left="2135" w:right="633"/>
      </w:pPr>
      <w:r>
        <mc:AlternateContent>
          <mc:Choice Requires="wpg">
            <w:drawing>
              <wp:anchor distT="0" distB="0" distL="0" distR="0" simplePos="0" relativeHeight="251687936" behindDoc="0" locked="0" layoutInCell="1" allowOverlap="1">
                <wp:simplePos x="0" y="0"/>
                <wp:positionH relativeFrom="page">
                  <wp:posOffset>1625600</wp:posOffset>
                </wp:positionH>
                <wp:positionV relativeFrom="paragraph">
                  <wp:posOffset>-4452530</wp:posOffset>
                </wp:positionV>
                <wp:extent cx="5570220" cy="4261485"/>
                <wp:effectExtent l="0" t="0" r="0" b="0"/>
                <wp:wrapNone/>
                <wp:docPr id="4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5570220" cy="4261485"/>
                          <a:chOff x="0" y="0"/>
                          <a:chExt cx="5570220" cy="4261485"/>
                        </a:xfrm>
                      </wpg:grpSpPr>
                      <wps:wsp xmlns:wps="http://schemas.microsoft.com/office/word/2010/wordprocessingShape">
                        <wps:cNvPr id="42" name="Graphic 42"/>
                        <wps:cNvSpPr/>
                        <wps:spPr>
                          <a:xfrm>
                            <a:off x="0" y="0"/>
                            <a:ext cx="5570220" cy="3916045"/>
                          </a:xfrm>
                          <a:custGeom>
                            <a:avLst/>
                            <a:gdLst/>
                            <a:rect l="l" t="t" r="r" b="b"/>
                            <a:pathLst>
                              <a:path fill="norm" h="3916045" w="5570220" stroke="1">
                                <a:moveTo>
                                  <a:pt x="5570220" y="3916045"/>
                                </a:moveTo>
                                <a:lnTo>
                                  <a:pt x="0" y="3916045"/>
                                </a:lnTo>
                                <a:lnTo>
                                  <a:pt x="0" y="0"/>
                                </a:lnTo>
                                <a:lnTo>
                                  <a:pt x="5570220" y="0"/>
                                </a:lnTo>
                                <a:lnTo>
                                  <a:pt x="5570220" y="3916045"/>
                                </a:lnTo>
                                <a:close/>
                              </a:path>
                            </a:pathLst>
                          </a:custGeom>
                          <a:solidFill>
                            <a:srgbClr val="EFEFEF"/>
                          </a:solidFill>
                        </wps:spPr>
                        <wps:bodyPr wrap="square" lIns="0" tIns="0" rIns="0" bIns="0" rtlCol="0">
                          <a:prstTxWarp prst="textNoShape">
                            <a:avLst/>
                          </a:prstTxWarp>
                        </wps:bodyPr>
                      </wps:wsp>
                      <wps:wsp xmlns:wps="http://schemas.microsoft.com/office/word/2010/wordprocessingShape">
                        <wps:cNvPr id="43" name="Graphic 43"/>
                        <wps:cNvSpPr/>
                        <wps:spPr>
                          <a:xfrm>
                            <a:off x="1206500" y="730250"/>
                            <a:ext cx="2730500" cy="1143000"/>
                          </a:xfrm>
                          <a:custGeom>
                            <a:avLst/>
                            <a:gdLst/>
                            <a:rect l="l" t="t" r="r" b="b"/>
                            <a:pathLst>
                              <a:path fill="norm" h="1143000" w="2730500" stroke="1">
                                <a:moveTo>
                                  <a:pt x="0" y="762000"/>
                                </a:moveTo>
                                <a:lnTo>
                                  <a:pt x="127000" y="762000"/>
                                </a:lnTo>
                              </a:path>
                              <a:path fill="norm" h="1143000" w="2730500" stroke="1">
                                <a:moveTo>
                                  <a:pt x="127000" y="1143000"/>
                                </a:moveTo>
                                <a:lnTo>
                                  <a:pt x="127000" y="381000"/>
                                </a:lnTo>
                              </a:path>
                              <a:path fill="norm" h="1143000" w="2730500" stroke="1">
                                <a:moveTo>
                                  <a:pt x="127000" y="381000"/>
                                </a:moveTo>
                                <a:lnTo>
                                  <a:pt x="254000" y="381000"/>
                                </a:lnTo>
                              </a:path>
                              <a:path fill="norm" h="1143000" w="2730500" stroke="1">
                                <a:moveTo>
                                  <a:pt x="127000" y="1143000"/>
                                </a:moveTo>
                                <a:lnTo>
                                  <a:pt x="254000" y="1143000"/>
                                </a:lnTo>
                              </a:path>
                              <a:path fill="norm" h="1143000" w="2730500" stroke="1">
                                <a:moveTo>
                                  <a:pt x="1397000" y="762000"/>
                                </a:moveTo>
                                <a:lnTo>
                                  <a:pt x="1492250" y="762000"/>
                                </a:lnTo>
                              </a:path>
                              <a:path fill="norm" h="1143000" w="2730500" stroke="1">
                                <a:moveTo>
                                  <a:pt x="1301750" y="381000"/>
                                </a:moveTo>
                                <a:lnTo>
                                  <a:pt x="1397000" y="381000"/>
                                </a:lnTo>
                              </a:path>
                              <a:path fill="norm" h="1143000" w="2730500" stroke="1">
                                <a:moveTo>
                                  <a:pt x="1397000" y="0"/>
                                </a:moveTo>
                                <a:lnTo>
                                  <a:pt x="1397000" y="762000"/>
                                </a:lnTo>
                              </a:path>
                              <a:path fill="norm" h="1143000" w="2730500" stroke="1">
                                <a:moveTo>
                                  <a:pt x="1397000" y="0"/>
                                </a:moveTo>
                                <a:lnTo>
                                  <a:pt x="1492250" y="0"/>
                                </a:lnTo>
                              </a:path>
                              <a:path fill="norm" h="1143000" w="2730500" stroke="1">
                                <a:moveTo>
                                  <a:pt x="2540000" y="0"/>
                                </a:moveTo>
                                <a:lnTo>
                                  <a:pt x="2730500" y="0"/>
                                </a:lnTo>
                              </a:path>
                              <a:path fill="norm" h="1143000" w="2730500" stroke="1">
                                <a:moveTo>
                                  <a:pt x="2635250" y="381000"/>
                                </a:moveTo>
                                <a:lnTo>
                                  <a:pt x="2730500" y="381000"/>
                                </a:lnTo>
                              </a:path>
                              <a:path fill="norm" h="1143000" w="2730500" stroke="1">
                                <a:moveTo>
                                  <a:pt x="2635250" y="0"/>
                                </a:moveTo>
                                <a:lnTo>
                                  <a:pt x="2635250" y="381000"/>
                                </a:lnTo>
                              </a:path>
                            </a:pathLst>
                          </a:custGeom>
                          <a:ln w="9525">
                            <a:solidFill>
                              <a:srgbClr val="566B75"/>
                            </a:solidFill>
                            <a:prstDash val="solid"/>
                          </a:ln>
                        </wps:spPr>
                        <wps:bodyPr wrap="square" lIns="0" tIns="0" rIns="0" bIns="0" rtlCol="0">
                          <a:prstTxWarp prst="textNoShape">
                            <a:avLst/>
                          </a:prstTxWarp>
                        </wps:bodyPr>
                      </wps:wsp>
                      <wps:wsp xmlns:wps="http://schemas.microsoft.com/office/word/2010/wordprocessingShape">
                        <wps:cNvPr id="44" name="Textbox 44"/>
                        <wps:cNvSpPr txBox="1"/>
                        <wps:spPr>
                          <a:xfrm>
                            <a:off x="0" y="0"/>
                            <a:ext cx="5570220" cy="3916045"/>
                          </a:xfrm>
                          <a:prstGeom prst="rect">
                            <a:avLst/>
                          </a:prstGeom>
                        </wps:spPr>
                        <wps:txbx>
                          <w:txbxContent>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42" w:line="240" w:lineRule="auto"/>
                                <w:rPr>
                                  <w:sz w:val="18"/>
                                </w:rPr>
                              </w:pPr>
                            </w:p>
                            <w:p>
                              <w:pPr>
                                <w:spacing w:before="0" w:line="264" w:lineRule="auto"/>
                                <w:ind w:left="120" w:right="774" w:firstLine="0"/>
                                <w:jc w:val="left"/>
                                <w:rPr>
                                  <w:sz w:val="18"/>
                                </w:rPr>
                              </w:pPr>
                              <w:r>
                                <w:rPr>
                                  <w:b/>
                                  <w:sz w:val="16"/>
                                </w:rPr>
                                <w:t xml:space="preserve">#1 La voce «Allineati alle caratteristiche ambientali e sociali» </w:t>
                              </w:r>
                              <w:r>
                                <w:rPr>
                                  <w:sz w:val="16"/>
                                </w:rPr>
                                <w:t>comprende gli investimenti del prodotto finanziario utilizzati per raggiungere le caratteristiche ambientali o sociali promosse dal prodotto stesso.</w:t>
                              </w:r>
                            </w:p>
                            <w:p>
                              <w:pPr>
                                <w:spacing w:before="19" w:line="240" w:lineRule="auto"/>
                                <w:rPr>
                                  <w:sz w:val="18"/>
                                </w:rPr>
                              </w:pPr>
                            </w:p>
                            <w:p>
                              <w:pPr>
                                <w:spacing w:before="0" w:line="264" w:lineRule="auto"/>
                                <w:ind w:left="120" w:right="629" w:firstLine="0"/>
                                <w:jc w:val="left"/>
                                <w:rPr>
                                  <w:sz w:val="18"/>
                                </w:rPr>
                              </w:pPr>
                              <w:r>
                                <w:rPr>
                                  <w:b/>
                                  <w:sz w:val="16"/>
                                </w:rPr>
                                <w:t xml:space="preserve">#2 «Altro» </w:t>
                              </w:r>
                              <w:r>
                                <w:rPr>
                                  <w:sz w:val="16"/>
                                </w:rPr>
                                <w:t>comprende i restanti investimenti del prodotto finanziario che non sono né allineati alle caratteristiche ambientali o sociali, né qualificabili come investimenti sostenibili.</w:t>
                              </w:r>
                            </w:p>
                            <w:p>
                              <w:pPr>
                                <w:spacing w:before="18" w:line="240" w:lineRule="auto"/>
                                <w:rPr>
                                  <w:sz w:val="18"/>
                                </w:rPr>
                              </w:pPr>
                            </w:p>
                            <w:p>
                              <w:pPr>
                                <w:spacing w:before="0"/>
                                <w:ind w:left="120" w:right="0" w:firstLine="0"/>
                                <w:jc w:val="left"/>
                                <w:rPr>
                                  <w:sz w:val="18"/>
                                </w:rPr>
                              </w:pPr>
                              <w:r>
                                <w:rPr>
                                  <w:sz w:val="16"/>
                                </w:rPr>
                                <w:t xml:space="preserve">La categoria </w:t>
                              </w:r>
                              <w:r>
                                <w:rPr>
                                  <w:b/>
                                  <w:sz w:val="16"/>
                                </w:rPr>
                                <w:t xml:space="preserve">n. 1 «Allineato alle caratteristiche ambientali e sociali» </w:t>
                              </w:r>
                              <w:r>
                                <w:rPr>
                                  <w:spacing w:val="-2"/>
                                  <w:sz w:val="16"/>
                                </w:rPr>
                                <w:t>comprende:</w:t>
                              </w:r>
                            </w:p>
                            <w:p>
                              <w:pPr>
                                <w:numPr>
                                  <w:ilvl w:val="0"/>
                                  <w:numId w:val="2"/>
                                </w:numPr>
                                <w:tabs>
                                  <w:tab w:val="left" w:pos="225"/>
                                </w:tabs>
                                <w:spacing w:before="20" w:line="264" w:lineRule="auto"/>
                                <w:ind w:left="120" w:right="888" w:firstLine="0"/>
                                <w:jc w:val="left"/>
                                <w:rPr>
                                  <w:sz w:val="18"/>
                                </w:rPr>
                              </w:pPr>
                              <w:r>
                                <w:rPr>
                                  <w:sz w:val="16"/>
                                </w:rPr>
                                <w:t>La sottocategoria n</w:t>
                              </w:r>
                              <w:r>
                                <w:rPr>
                                  <w:b/>
                                  <w:sz w:val="16"/>
                                </w:rPr>
                                <w:t xml:space="preserve">. 1A «Sostenibile» </w:t>
                              </w:r>
                              <w:r>
                                <w:rPr>
                                  <w:sz w:val="16"/>
                                </w:rPr>
                                <w:t>comprende gli investimenti sostenibili con obiettivi ambientali o sociali.</w:t>
                              </w:r>
                            </w:p>
                            <w:p>
                              <w:pPr>
                                <w:numPr>
                                  <w:ilvl w:val="0"/>
                                  <w:numId w:val="2"/>
                                </w:numPr>
                                <w:tabs>
                                  <w:tab w:val="left" w:pos="225"/>
                                </w:tabs>
                                <w:spacing w:before="0" w:line="264" w:lineRule="auto"/>
                                <w:ind w:left="120" w:right="1680" w:firstLine="0"/>
                                <w:jc w:val="left"/>
                                <w:rPr>
                                  <w:sz w:val="18"/>
                                </w:rPr>
                              </w:pPr>
                              <w:r>
                                <w:rPr>
                                  <w:sz w:val="16"/>
                                </w:rPr>
                                <w:t xml:space="preserve">La sottocategoria </w:t>
                              </w:r>
                              <w:r>
                                <w:rPr>
                                  <w:b/>
                                  <w:sz w:val="16"/>
                                </w:rPr>
                                <w:t xml:space="preserve">#1B «Altre caratteristiche ambientali e sociali» </w:t>
                              </w:r>
                              <w:r>
                                <w:rPr>
                                  <w:sz w:val="16"/>
                                </w:rPr>
                                <w:t>comprende gli investimenti allineati alle caratteristiche ambientali o sociali che non si qualificano come investimenti sostenibili.</w:t>
                              </w:r>
                            </w:p>
                          </w:txbxContent>
                        </wps:txbx>
                        <wps:bodyPr wrap="square" lIns="0" tIns="0" rIns="0" bIns="0" rtlCol="0"/>
                      </wps:wsp>
                      <wps:wsp xmlns:wps="http://schemas.microsoft.com/office/word/2010/wordprocessingShape">
                        <wps:cNvPr id="45" name="Textbox 45"/>
                        <wps:cNvSpPr txBox="1"/>
                        <wps:spPr>
                          <a:xfrm>
                            <a:off x="0" y="3916045"/>
                            <a:ext cx="5570220" cy="345440"/>
                          </a:xfrm>
                          <a:prstGeom prst="rect">
                            <a:avLst/>
                          </a:prstGeom>
                          <a:solidFill>
                            <a:srgbClr val="EFEFEF"/>
                          </a:solidFill>
                        </wps:spPr>
                        <wps:txbx>
                          <w:txbxContent>
                            <w:p>
                              <w:pPr>
                                <w:spacing w:before="54" w:line="264" w:lineRule="auto"/>
                                <w:ind w:left="0" w:right="629" w:firstLine="0"/>
                                <w:jc w:val="left"/>
                                <w:rPr>
                                  <w:sz w:val="18"/>
                                </w:rPr>
                              </w:pPr>
                              <w:r>
                                <w:rPr>
                                  <w:sz w:val="16"/>
                                </w:rPr>
                                <w:t>In che modo l’uso di derivati consente di raggiungere le caratteristiche ambientali o sociali promosse dal prodotto finanziario?</w:t>
                              </w:r>
                            </w:p>
                          </w:txbxContent>
                        </wps:txbx>
                        <wps:bodyPr wrap="square" lIns="0" tIns="0" rIns="0" bIns="0" rtlCol="0"/>
                      </wps:wsp>
                      <wps:wsp xmlns:wps="http://schemas.microsoft.com/office/word/2010/wordprocessingShape">
                        <wps:cNvPr id="46" name="Textbox 46"/>
                        <wps:cNvSpPr txBox="1"/>
                        <wps:spPr>
                          <a:xfrm>
                            <a:off x="3937000" y="939800"/>
                            <a:ext cx="1047750" cy="342900"/>
                          </a:xfrm>
                          <a:prstGeom prst="rect">
                            <a:avLst/>
                          </a:prstGeom>
                          <a:solidFill>
                            <a:srgbClr val="85C6E4"/>
                          </a:solidFill>
                        </wps:spPr>
                        <wps:txbx>
                          <w:txbxContent>
                            <w:p>
                              <w:pPr>
                                <w:spacing w:before="172"/>
                                <w:ind w:left="0" w:right="0" w:firstLine="0"/>
                                <w:jc w:val="center"/>
                                <w:rPr>
                                  <w:sz w:val="16"/>
                                </w:rPr>
                              </w:pPr>
                              <w:r>
                                <w:rPr>
                                  <w:color w:val="FFFFFF"/>
                                  <w:spacing w:val="-2"/>
                                  <w:sz w:val="15"/>
                                </w:rPr>
                                <w:t>Sociale</w:t>
                              </w:r>
                            </w:p>
                          </w:txbxContent>
                        </wps:txbx>
                        <wps:bodyPr wrap="square" lIns="0" tIns="0" rIns="0" bIns="0" rtlCol="0"/>
                      </wps:wsp>
                      <wps:wsp xmlns:wps="http://schemas.microsoft.com/office/word/2010/wordprocessingShape">
                        <wps:cNvPr id="47" name="Textbox 47"/>
                        <wps:cNvSpPr txBox="1"/>
                        <wps:spPr>
                          <a:xfrm>
                            <a:off x="3937000" y="558800"/>
                            <a:ext cx="1047750" cy="381000"/>
                          </a:xfrm>
                          <a:prstGeom prst="rect">
                            <a:avLst/>
                          </a:prstGeom>
                          <a:solidFill>
                            <a:srgbClr val="60B364"/>
                          </a:solidFill>
                        </wps:spPr>
                        <wps:txbx>
                          <w:txbxContent>
                            <w:p>
                              <w:pPr>
                                <w:spacing w:before="71" w:line="264" w:lineRule="auto"/>
                                <w:ind w:left="322" w:right="0" w:firstLine="302"/>
                                <w:jc w:val="left"/>
                                <w:rPr>
                                  <w:sz w:val="16"/>
                                </w:rPr>
                              </w:pPr>
                              <w:r>
                                <w:rPr>
                                  <w:color w:val="FFFFFF"/>
                                  <w:spacing w:val="-2"/>
                                  <w:sz w:val="15"/>
                                </w:rPr>
                                <w:t>Altre caratteristiche ambientali</w:t>
                              </w:r>
                            </w:p>
                          </w:txbxContent>
                        </wps:txbx>
                        <wps:bodyPr wrap="square" lIns="0" tIns="0" rIns="0" bIns="0" rtlCol="0"/>
                      </wps:wsp>
                      <wps:wsp xmlns:wps="http://schemas.microsoft.com/office/word/2010/wordprocessingShape">
                        <wps:cNvPr id="48" name="Textbox 48"/>
                        <wps:cNvSpPr txBox="1"/>
                        <wps:spPr>
                          <a:xfrm>
                            <a:off x="1460500" y="1701800"/>
                            <a:ext cx="1047750" cy="342900"/>
                          </a:xfrm>
                          <a:prstGeom prst="rect">
                            <a:avLst/>
                          </a:prstGeom>
                          <a:solidFill>
                            <a:srgbClr val="D8D8D8"/>
                          </a:solidFill>
                        </wps:spPr>
                        <wps:txbx>
                          <w:txbxContent>
                            <w:p>
                              <w:pPr>
                                <w:spacing w:before="172"/>
                                <w:ind w:left="513" w:right="0" w:firstLine="0"/>
                                <w:jc w:val="left"/>
                                <w:rPr>
                                  <w:sz w:val="16"/>
                                </w:rPr>
                              </w:pPr>
                              <w:r>
                                <w:rPr>
                                  <w:color w:val="FFFFFF"/>
                                  <w:spacing w:val="-2"/>
                                  <w:sz w:val="15"/>
                                </w:rPr>
                                <w:t>#2 Altro</w:t>
                              </w:r>
                            </w:p>
                          </w:txbxContent>
                        </wps:txbx>
                        <wps:bodyPr wrap="square" lIns="0" tIns="0" rIns="0" bIns="0" rtlCol="0"/>
                      </wps:wsp>
                      <wps:wsp xmlns:wps="http://schemas.microsoft.com/office/word/2010/wordprocessingShape">
                        <wps:cNvPr id="49" name="Textbox 49"/>
                        <wps:cNvSpPr txBox="1"/>
                        <wps:spPr>
                          <a:xfrm>
                            <a:off x="158750" y="1320800"/>
                            <a:ext cx="1047750" cy="342900"/>
                          </a:xfrm>
                          <a:prstGeom prst="rect">
                            <a:avLst/>
                          </a:prstGeom>
                          <a:solidFill>
                            <a:srgbClr val="54AEB1"/>
                          </a:solidFill>
                        </wps:spPr>
                        <wps:txbx>
                          <w:txbxContent>
                            <w:p>
                              <w:pPr>
                                <w:spacing w:before="172"/>
                                <w:ind w:left="393" w:right="0" w:firstLine="0"/>
                                <w:jc w:val="left"/>
                                <w:rPr>
                                  <w:sz w:val="16"/>
                                </w:rPr>
                              </w:pPr>
                              <w:r>
                                <w:rPr>
                                  <w:color w:val="FFFFFF"/>
                                  <w:spacing w:val="-2"/>
                                  <w:sz w:val="15"/>
                                </w:rPr>
                                <w:t>Investimenti</w:t>
                              </w:r>
                            </w:p>
                          </w:txbxContent>
                        </wps:txbx>
                        <wps:bodyPr wrap="square" lIns="0" tIns="0" rIns="0" bIns="0" rtlCol="0"/>
                      </wps:wsp>
                      <wps:wsp xmlns:wps="http://schemas.microsoft.com/office/word/2010/wordprocessingShape">
                        <wps:cNvPr id="50" name="Textbox 50"/>
                        <wps:cNvSpPr txBox="1"/>
                        <wps:spPr>
                          <a:xfrm>
                            <a:off x="2698750" y="1235075"/>
                            <a:ext cx="1047750" cy="514350"/>
                          </a:xfrm>
                          <a:prstGeom prst="rect">
                            <a:avLst/>
                          </a:prstGeom>
                          <a:solidFill>
                            <a:srgbClr val="7CA342"/>
                          </a:solidFill>
                        </wps:spPr>
                        <wps:txbx>
                          <w:txbxContent>
                            <w:p>
                              <w:pPr>
                                <w:spacing w:before="22" w:line="240" w:lineRule="auto"/>
                                <w:rPr>
                                  <w:sz w:val="16"/>
                                </w:rPr>
                              </w:pPr>
                            </w:p>
                            <w:p>
                              <w:pPr>
                                <w:spacing w:before="0" w:line="264" w:lineRule="auto"/>
                                <w:ind w:left="313" w:right="0" w:hanging="5"/>
                                <w:jc w:val="left"/>
                                <w:rPr>
                                  <w:sz w:val="16"/>
                                </w:rPr>
                              </w:pPr>
                              <w:r>
                                <w:rPr>
                                  <w:color w:val="FFFFFF"/>
                                  <w:spacing w:val="-2"/>
                                  <w:sz w:val="15"/>
                                </w:rPr>
                                <w:t>#1B Altre caratteristiche ambientali e sociali</w:t>
                              </w:r>
                            </w:p>
                          </w:txbxContent>
                        </wps:txbx>
                        <wps:bodyPr wrap="square" lIns="0" tIns="0" rIns="0" bIns="0" rtlCol="0"/>
                      </wps:wsp>
                      <wps:wsp xmlns:wps="http://schemas.microsoft.com/office/word/2010/wordprocessingShape">
                        <wps:cNvPr id="51" name="Textbox 51"/>
                        <wps:cNvSpPr txBox="1"/>
                        <wps:spPr>
                          <a:xfrm>
                            <a:off x="1460500" y="854075"/>
                            <a:ext cx="1047750" cy="514350"/>
                          </a:xfrm>
                          <a:prstGeom prst="rect">
                            <a:avLst/>
                          </a:prstGeom>
                          <a:solidFill>
                            <a:srgbClr val="82C385"/>
                          </a:solidFill>
                        </wps:spPr>
                        <wps:txbx>
                          <w:txbxContent>
                            <w:p>
                              <w:pPr>
                                <w:spacing w:before="105" w:line="264" w:lineRule="auto"/>
                                <w:ind w:left="313" w:right="311" w:hanging="1"/>
                                <w:jc w:val="center"/>
                                <w:rPr>
                                  <w:sz w:val="16"/>
                                </w:rPr>
                              </w:pPr>
                              <w:r>
                                <w:rPr>
                                  <w:color w:val="FFFFFF"/>
                                  <w:sz w:val="15"/>
                                </w:rPr>
                                <w:t>#1 In linea con le caratteristiche ambientali e sociali</w:t>
                              </w:r>
                            </w:p>
                          </w:txbxContent>
                        </wps:txbx>
                        <wps:bodyPr wrap="square" lIns="0" tIns="0" rIns="0" bIns="0" rtlCol="0"/>
                      </wps:wsp>
                      <wps:wsp xmlns:wps="http://schemas.microsoft.com/office/word/2010/wordprocessingShape">
                        <wps:cNvPr id="52" name="Textbox 52"/>
                        <wps:cNvSpPr txBox="1"/>
                        <wps:spPr>
                          <a:xfrm>
                            <a:off x="2698750" y="558800"/>
                            <a:ext cx="1047750" cy="342900"/>
                          </a:xfrm>
                          <a:prstGeom prst="rect">
                            <a:avLst/>
                          </a:prstGeom>
                          <a:solidFill>
                            <a:srgbClr val="9ECD66"/>
                          </a:solidFill>
                        </wps:spPr>
                        <wps:txbx>
                          <w:txbxContent>
                            <w:p>
                              <w:pPr>
                                <w:spacing w:before="71"/>
                                <w:ind w:left="0" w:right="0" w:firstLine="0"/>
                                <w:jc w:val="center"/>
                                <w:rPr>
                                  <w:sz w:val="16"/>
                                </w:rPr>
                              </w:pPr>
                              <w:r>
                                <w:rPr>
                                  <w:color w:val="FFFFFF"/>
                                  <w:spacing w:val="-5"/>
                                  <w:sz w:val="15"/>
                                </w:rPr>
                                <w:t>#1A</w:t>
                              </w:r>
                            </w:p>
                            <w:p>
                              <w:pPr>
                                <w:spacing w:before="18"/>
                                <w:ind w:left="0" w:right="0" w:firstLine="0"/>
                                <w:jc w:val="center"/>
                                <w:rPr>
                                  <w:sz w:val="16"/>
                                </w:rPr>
                              </w:pPr>
                              <w:r>
                                <w:rPr>
                                  <w:color w:val="FFFFFF"/>
                                  <w:spacing w:val="-2"/>
                                  <w:sz w:val="15"/>
                                </w:rPr>
                                <w:t>Sostenibile</w:t>
                              </w:r>
                            </w:p>
                          </w:txbxContent>
                        </wps:txbx>
                        <wps:bodyPr wrap="square" lIns="0" tIns="0" rIns="0" bIns="0" rtlCol="0"/>
                      </wps:wsp>
                    </wpg:wgp>
                  </a:graphicData>
                </a:graphic>
              </wp:anchor>
            </w:drawing>
          </mc:Choice>
          <mc:Fallback>
            <w:pict>
              <v:group id="Group 41" o:spid="_x0000_s1057" style="width:438.6pt;height:335.55pt;margin-top:-350.59pt;margin-left:128pt;mso-position-horizontal-relative:page;mso-wrap-distance-bottom:0;mso-wrap-distance-left:0;mso-wrap-distance-right:0;mso-wrap-distance-top:0;position:absolute;z-index:251686912" coordorigin="0,0" coordsize="21600,21600">
                <v:shape id="_x0000_s1058" style="width:21600;height:19849;position:absolute;v-text-anchor:top" coordsize="21600,21600" path="m21600,21600l,21600l,21600l,l,l21600,l21600,l21600,21600xe" fillcolor="#efefef"/>
                <v:shape id="_x0000_s1059" style="width:10588;height:5793;left:4679;position:absolute;top:3701;v-text-anchor:top" coordsize="21600,21600" path="m,14400l1005,14400em1005,21600l1005,7200em1005,7200l2009,7200em1005,21600l2009,21600em11051,14400l11805,14400em10298,7200l11051,7200em11051,l11051,14400em11051,l11805,em20093,l21600,em20847,7200l21600,7200em20847,l20847,7200e" fillcolor="this" stroked="t" strokecolor="#566b75" strokeweight="0.75pt"/>
                <v:shape id="_x0000_s1060" type="#_x0000_t202" style="width:21600;height:19849;position:absolute;v-text-anchor:top" fillcolor="this">
                  <v:textbox inset="0,0,0,0">
                    <w:txbxContent>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42" w:line="240" w:lineRule="auto"/>
                          <w:rPr>
                            <w:sz w:val="18"/>
                          </w:rPr>
                        </w:pPr>
                      </w:p>
                      <w:p>
                        <w:pPr>
                          <w:spacing w:before="0" w:line="264" w:lineRule="auto"/>
                          <w:ind w:left="120" w:right="774" w:firstLine="0"/>
                          <w:jc w:val="left"/>
                          <w:rPr>
                            <w:sz w:val="18"/>
                          </w:rPr>
                        </w:pPr>
                        <w:r>
                          <w:rPr>
                            <w:b/>
                            <w:sz w:val="16"/>
                          </w:rPr>
                          <w:t xml:space="preserve">#1 La voce «Allineati alle caratteristiche ambientali e sociali» </w:t>
                        </w:r>
                        <w:r>
                          <w:rPr>
                            <w:sz w:val="16"/>
                          </w:rPr>
                          <w:t>comprende gli investimenti del prodotto finanziario utilizzati per raggiungere le caratteristiche ambientali o sociali promosse dal prodotto stesso.</w:t>
                        </w:r>
                      </w:p>
                      <w:p>
                        <w:pPr>
                          <w:spacing w:before="19" w:line="240" w:lineRule="auto"/>
                          <w:rPr>
                            <w:sz w:val="18"/>
                          </w:rPr>
                        </w:pPr>
                      </w:p>
                      <w:p>
                        <w:pPr>
                          <w:spacing w:before="0" w:line="264" w:lineRule="auto"/>
                          <w:ind w:left="120" w:right="629" w:firstLine="0"/>
                          <w:jc w:val="left"/>
                          <w:rPr>
                            <w:sz w:val="18"/>
                          </w:rPr>
                        </w:pPr>
                        <w:r>
                          <w:rPr>
                            <w:b/>
                            <w:sz w:val="16"/>
                          </w:rPr>
                          <w:t xml:space="preserve">#2 «Altro» </w:t>
                        </w:r>
                        <w:r>
                          <w:rPr>
                            <w:sz w:val="16"/>
                          </w:rPr>
                          <w:t>comprende i restanti investimenti del prodotto finanziario che non sono né allineati alle caratteristiche ambientali o sociali, né qualificabili come investimenti sostenibili.</w:t>
                        </w:r>
                      </w:p>
                      <w:p>
                        <w:pPr>
                          <w:spacing w:before="18" w:line="240" w:lineRule="auto"/>
                          <w:rPr>
                            <w:sz w:val="18"/>
                          </w:rPr>
                        </w:pPr>
                      </w:p>
                      <w:p>
                        <w:pPr>
                          <w:spacing w:before="0"/>
                          <w:ind w:left="120" w:right="0" w:firstLine="0"/>
                          <w:jc w:val="left"/>
                          <w:rPr>
                            <w:sz w:val="18"/>
                          </w:rPr>
                        </w:pPr>
                        <w:r>
                          <w:rPr>
                            <w:sz w:val="16"/>
                          </w:rPr>
                          <w:t xml:space="preserve">La categoria </w:t>
                        </w:r>
                        <w:r>
                          <w:rPr>
                            <w:b/>
                            <w:sz w:val="16"/>
                          </w:rPr>
                          <w:t xml:space="preserve">n. 1 «Allineato alle caratteristiche ambientali e sociali» </w:t>
                        </w:r>
                        <w:r>
                          <w:rPr>
                            <w:spacing w:val="-2"/>
                            <w:sz w:val="16"/>
                          </w:rPr>
                          <w:t>comprende:</w:t>
                        </w:r>
                      </w:p>
                      <w:p>
                        <w:pPr>
                          <w:numPr>
                            <w:ilvl w:val="0"/>
                            <w:numId w:val="2"/>
                          </w:numPr>
                          <w:tabs>
                            <w:tab w:val="left" w:pos="225"/>
                          </w:tabs>
                          <w:spacing w:before="20" w:line="264" w:lineRule="auto"/>
                          <w:ind w:left="120" w:right="888" w:firstLine="0"/>
                          <w:jc w:val="left"/>
                          <w:rPr>
                            <w:sz w:val="18"/>
                          </w:rPr>
                        </w:pPr>
                        <w:r>
                          <w:rPr>
                            <w:sz w:val="16"/>
                          </w:rPr>
                          <w:t>La sottocategoria n</w:t>
                        </w:r>
                        <w:r>
                          <w:rPr>
                            <w:b/>
                            <w:sz w:val="16"/>
                          </w:rPr>
                          <w:t xml:space="preserve">. 1A «Sostenibile» </w:t>
                        </w:r>
                        <w:r>
                          <w:rPr>
                            <w:sz w:val="16"/>
                          </w:rPr>
                          <w:t>comprende gli investimenti sostenibili con obiettivi ambientali o sociali.</w:t>
                        </w:r>
                      </w:p>
                      <w:p>
                        <w:pPr>
                          <w:numPr>
                            <w:ilvl w:val="0"/>
                            <w:numId w:val="2"/>
                          </w:numPr>
                          <w:tabs>
                            <w:tab w:val="left" w:pos="225"/>
                          </w:tabs>
                          <w:spacing w:before="0" w:line="264" w:lineRule="auto"/>
                          <w:ind w:left="120" w:right="1680" w:firstLine="0"/>
                          <w:jc w:val="left"/>
                          <w:rPr>
                            <w:sz w:val="18"/>
                          </w:rPr>
                        </w:pPr>
                        <w:r>
                          <w:rPr>
                            <w:sz w:val="16"/>
                          </w:rPr>
                          <w:t xml:space="preserve">La sottocategoria </w:t>
                        </w:r>
                        <w:r>
                          <w:rPr>
                            <w:b/>
                            <w:sz w:val="16"/>
                          </w:rPr>
                          <w:t xml:space="preserve">#1B «Altre caratteristiche ambientali e sociali» </w:t>
                        </w:r>
                        <w:r>
                          <w:rPr>
                            <w:sz w:val="16"/>
                          </w:rPr>
                          <w:t>comprende gli investimenti allineati alle caratteristiche ambientali o sociali che non si qualificano come investimenti sostenibili.</w:t>
                        </w:r>
                      </w:p>
                    </w:txbxContent>
                  </v:textbox>
                </v:shape>
                <v:shape id="_x0000_s1061" type="#_x0000_t202" style="width:21600;height:1751;position:absolute;top:19849;v-text-anchor:top" fillcolor="#efefef">
                  <v:textbox inset="0,0,0,0">
                    <w:txbxContent>
                      <w:p>
                        <w:pPr>
                          <w:spacing w:before="54" w:line="264" w:lineRule="auto"/>
                          <w:ind w:left="0" w:right="629" w:firstLine="0"/>
                          <w:jc w:val="left"/>
                          <w:rPr>
                            <w:sz w:val="18"/>
                          </w:rPr>
                        </w:pPr>
                        <w:r>
                          <w:rPr>
                            <w:sz w:val="16"/>
                          </w:rPr>
                          <w:t>In che modo l’uso di derivati consente di raggiungere le caratteristiche ambientali o sociali promosse dal prodotto finanziario?</w:t>
                        </w:r>
                      </w:p>
                    </w:txbxContent>
                  </v:textbox>
                </v:shape>
                <v:shape id="_x0000_s1062" type="#_x0000_t202" style="width:4063;height:1738;left:15267;position:absolute;top:4764;v-text-anchor:top" fillcolor="#85c6e4">
                  <v:textbox inset="0,0,0,0">
                    <w:txbxContent>
                      <w:p>
                        <w:pPr>
                          <w:spacing w:before="172"/>
                          <w:ind w:left="0" w:right="0" w:firstLine="0"/>
                          <w:jc w:val="center"/>
                          <w:rPr>
                            <w:sz w:val="16"/>
                          </w:rPr>
                        </w:pPr>
                        <w:r>
                          <w:rPr>
                            <w:color w:val="FFFFFF"/>
                            <w:spacing w:val="-2"/>
                            <w:sz w:val="15"/>
                          </w:rPr>
                          <w:t>Sociale</w:t>
                        </w:r>
                      </w:p>
                    </w:txbxContent>
                  </v:textbox>
                </v:shape>
                <v:shape id="_x0000_s1063" type="#_x0000_t202" style="width:4063;height:1931;left:15267;position:absolute;top:2832;v-text-anchor:top" fillcolor="#60b364">
                  <v:textbox inset="0,0,0,0">
                    <w:txbxContent>
                      <w:p>
                        <w:pPr>
                          <w:spacing w:before="71" w:line="264" w:lineRule="auto"/>
                          <w:ind w:left="322" w:right="0" w:firstLine="302"/>
                          <w:jc w:val="left"/>
                          <w:rPr>
                            <w:sz w:val="16"/>
                          </w:rPr>
                        </w:pPr>
                        <w:r>
                          <w:rPr>
                            <w:color w:val="FFFFFF"/>
                            <w:spacing w:val="-2"/>
                            <w:sz w:val="15"/>
                          </w:rPr>
                          <w:t>Altre caratteristiche ambientali</w:t>
                        </w:r>
                      </w:p>
                    </w:txbxContent>
                  </v:textbox>
                </v:shape>
                <v:shape id="_x0000_s1064" type="#_x0000_t202" style="width:4063;height:1738;left:5663;position:absolute;top:8626;v-text-anchor:top" fillcolor="#d8d8d8">
                  <v:textbox inset="0,0,0,0">
                    <w:txbxContent>
                      <w:p>
                        <w:pPr>
                          <w:spacing w:before="172"/>
                          <w:ind w:left="513" w:right="0" w:firstLine="0"/>
                          <w:jc w:val="left"/>
                          <w:rPr>
                            <w:sz w:val="16"/>
                          </w:rPr>
                        </w:pPr>
                        <w:r>
                          <w:rPr>
                            <w:color w:val="FFFFFF"/>
                            <w:spacing w:val="-2"/>
                            <w:sz w:val="15"/>
                          </w:rPr>
                          <w:t>#2 Altro</w:t>
                        </w:r>
                      </w:p>
                    </w:txbxContent>
                  </v:textbox>
                </v:shape>
                <v:shape id="_x0000_s1065" type="#_x0000_t202" style="width:4063;height:1738;left:616;position:absolute;top:6695;v-text-anchor:top" fillcolor="#54aeb1">
                  <v:textbox inset="0,0,0,0">
                    <w:txbxContent>
                      <w:p>
                        <w:pPr>
                          <w:spacing w:before="172"/>
                          <w:ind w:left="393" w:right="0" w:firstLine="0"/>
                          <w:jc w:val="left"/>
                          <w:rPr>
                            <w:sz w:val="16"/>
                          </w:rPr>
                        </w:pPr>
                        <w:r>
                          <w:rPr>
                            <w:color w:val="FFFFFF"/>
                            <w:spacing w:val="-2"/>
                            <w:sz w:val="15"/>
                          </w:rPr>
                          <w:t>Investimenti</w:t>
                        </w:r>
                      </w:p>
                    </w:txbxContent>
                  </v:textbox>
                </v:shape>
                <v:shape id="_x0000_s1066" type="#_x0000_t202" style="width:4063;height:2607;left:10465;position:absolute;top:6260;v-text-anchor:top" fillcolor="#7ca342">
                  <v:textbox inset="0,0,0,0">
                    <w:txbxContent>
                      <w:p>
                        <w:pPr>
                          <w:spacing w:before="22" w:line="240" w:lineRule="auto"/>
                          <w:rPr>
                            <w:sz w:val="16"/>
                          </w:rPr>
                        </w:pPr>
                      </w:p>
                      <w:p>
                        <w:pPr>
                          <w:spacing w:before="0" w:line="264" w:lineRule="auto"/>
                          <w:ind w:left="313" w:right="0" w:hanging="5"/>
                          <w:jc w:val="left"/>
                          <w:rPr>
                            <w:sz w:val="16"/>
                          </w:rPr>
                        </w:pPr>
                        <w:r>
                          <w:rPr>
                            <w:color w:val="FFFFFF"/>
                            <w:spacing w:val="-2"/>
                            <w:sz w:val="15"/>
                          </w:rPr>
                          <w:t>#1B Altre caratteristiche ambientali e sociali</w:t>
                        </w:r>
                      </w:p>
                    </w:txbxContent>
                  </v:textbox>
                </v:shape>
                <v:shape id="_x0000_s1067" type="#_x0000_t202" style="width:4063;height:2607;left:5663;position:absolute;top:4329;v-text-anchor:top" fillcolor="#82c385">
                  <v:textbox inset="0,0,0,0">
                    <w:txbxContent>
                      <w:p>
                        <w:pPr>
                          <w:spacing w:before="105" w:line="264" w:lineRule="auto"/>
                          <w:ind w:left="313" w:right="311" w:hanging="1"/>
                          <w:jc w:val="center"/>
                          <w:rPr>
                            <w:sz w:val="16"/>
                          </w:rPr>
                        </w:pPr>
                        <w:r>
                          <w:rPr>
                            <w:color w:val="FFFFFF"/>
                            <w:sz w:val="15"/>
                          </w:rPr>
                          <w:t>#1 In linea con le caratteristiche ambientali e sociali</w:t>
                        </w:r>
                      </w:p>
                    </w:txbxContent>
                  </v:textbox>
                </v:shape>
                <v:shape id="_x0000_s1068" type="#_x0000_t202" style="width:4063;height:1738;left:10465;position:absolute;top:2832;v-text-anchor:top" fillcolor="#9ecd66">
                  <v:textbox inset="0,0,0,0">
                    <w:txbxContent>
                      <w:p>
                        <w:pPr>
                          <w:spacing w:before="71"/>
                          <w:ind w:left="0" w:right="0" w:firstLine="0"/>
                          <w:jc w:val="center"/>
                          <w:rPr>
                            <w:sz w:val="16"/>
                          </w:rPr>
                        </w:pPr>
                        <w:r>
                          <w:rPr>
                            <w:color w:val="FFFFFF"/>
                            <w:spacing w:val="-5"/>
                            <w:sz w:val="15"/>
                          </w:rPr>
                          <w:t>#1A</w:t>
                        </w:r>
                      </w:p>
                      <w:p>
                        <w:pPr>
                          <w:spacing w:before="18"/>
                          <w:ind w:left="0" w:right="0" w:firstLine="0"/>
                          <w:jc w:val="center"/>
                          <w:rPr>
                            <w:sz w:val="16"/>
                          </w:rPr>
                        </w:pPr>
                        <w:r>
                          <w:rPr>
                            <w:color w:val="FFFFFF"/>
                            <w:spacing w:val="-2"/>
                            <w:sz w:val="15"/>
                          </w:rPr>
                          <w:t>Sostenibile</w:t>
                        </w:r>
                      </w:p>
                    </w:txbxContent>
                  </v:textbox>
                </v:shape>
              </v:group>
            </w:pict>
          </mc:Fallback>
        </mc:AlternateContent>
      </w:r>
      <w:r>
        <w:rPr>
          <w:sz w:val="16"/>
        </w:rPr>
        <w:t>Gli strumenti finanziari derivati (“FDIs”) possono essere utilizzati ai fini di una gestione efficiente del portafoglio. Non è previsto l’utilizzo degli FDIs per il raggiungimento dell’obiettivo del prodotto finanziario, ma piuttosto come investimenti accessori, ad esempio per investire i saldi di cassa in attesa di ribilanciamento o per investire in componenti dell’Indice di Riferimento. Qualsiasi esposizione ottenuta tramite l’uso di FDIs per tali scopi accessori sarà allineata all’obiettivo di investimento del prodotto finanziario e sarà conforme a standard ESG sostanzialmente simili a quelli dell’Indice di Riferimento, oppure rientrerà nella percentuale indicata degli investimenti non allineati alle caratteristiche ambientali e sociali promosse (#2 Altro).</w:t>
      </w:r>
    </w:p>
    <w:p>
      <w:pPr>
        <w:pStyle w:val="BodyText"/>
        <w:spacing w:after="0" w:line="264" w:lineRule="auto"/>
        <w:sectPr>
          <w:pgSz w:w="11910" w:h="16840"/>
          <w:pgMar w:top="700" w:right="566" w:bottom="280" w:left="425" w:header="708" w:footer="708"/>
          <w:cols w:space="708"/>
        </w:sectPr>
      </w:pPr>
    </w:p>
    <w:p>
      <w:pPr>
        <w:spacing w:line="240" w:lineRule="auto"/>
        <w:ind w:left="2175" w:right="-44" w:firstLine="0"/>
        <w:jc w:val="left"/>
        <w:rPr>
          <w:sz w:val="20"/>
        </w:rPr>
      </w:pPr>
      <w:r>
        <w:rPr>
          <w:position w:val="18"/>
          <w:sz w:val="20"/>
        </w:rPr>
        <w:drawing>
          <wp:inline distT="0" distB="0" distL="0" distR="0">
            <wp:extent cx="191833" cy="191833"/>
            <wp:effectExtent l="0" t="0" r="0" b="0"/>
            <wp:docPr id="53" name="Image 53"/>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xmlns:r="http://schemas.openxmlformats.org/officeDocument/2006/relationships" r:embed="rId14" cstate="print"/>
                    <a:stretch>
                      <a:fillRect/>
                    </a:stretch>
                  </pic:blipFill>
                  <pic:spPr>
                    <a:xfrm>
                      <a:off x="0" y="0"/>
                      <a:ext cx="191833" cy="191833"/>
                    </a:xfrm>
                    <a:prstGeom prst="rect">
                      <a:avLst/>
                    </a:prstGeom>
                  </pic:spPr>
                </pic:pic>
              </a:graphicData>
            </a:graphic>
          </wp:inline>
        </w:drawing>
      </w:r>
      <w:r>
        <w:rPr>
          <w:rFonts w:ascii="Times New Roman"/>
          <w:position w:val="18"/>
          <w:sz w:val="18"/>
        </w:rPr>
        <w:t xml:space="preserve"> </w:t>
      </w:r>
      <w:r>
        <w:rPr>
          <w:spacing w:val="107"/>
          <w:sz w:val="20"/>
        </w:rPr>
        <mc:AlternateContent>
          <mc:Choice Requires="wps">
            <w:drawing>
              <wp:inline distT="0" distB="0" distL="0" distR="0">
                <wp:extent cx="5252720" cy="307340"/>
                <wp:effectExtent l="0" t="0" r="0" b="0"/>
                <wp:docPr id="54" name="Textbox 54"/>
                <wp:cNvGraphicFramePr/>
                <a:graphic xmlns:a="http://schemas.openxmlformats.org/drawingml/2006/main">
                  <a:graphicData uri="http://schemas.microsoft.com/office/word/2010/wordprocessingShape">
                    <wps:wsp xmlns:wps="http://schemas.microsoft.com/office/word/2010/wordprocessingShape">
                      <wps:cNvSpPr txBox="1"/>
                      <wps:spPr>
                        <a:xfrm>
                          <a:off x="0" y="0"/>
                          <a:ext cx="5252720" cy="307340"/>
                        </a:xfrm>
                        <a:prstGeom prst="rect">
                          <a:avLst/>
                        </a:prstGeom>
                        <a:solidFill>
                          <a:srgbClr val="EFEFEF"/>
                        </a:solidFill>
                      </wps:spPr>
                      <wps:txbx>
                        <w:txbxContent>
                          <w:p>
                            <w:pPr>
                              <w:pStyle w:val="BodyText"/>
                              <w:spacing w:line="264" w:lineRule="auto"/>
                              <w:ind w:right="604"/>
                            </w:pPr>
                            <w:r>
                              <w:rPr>
                                <w:sz w:val="16"/>
                              </w:rPr>
                              <w:t>In che misura minima gli investimenti sostenibili con un obiettivo ambientale sono allineati alla tassonomia dell’UE?</w:t>
                            </w:r>
                          </w:p>
                        </w:txbxContent>
                      </wps:txbx>
                      <wps:bodyPr wrap="square" lIns="0" tIns="0" rIns="0" bIns="0" rtlCol="0"/>
                    </wps:wsp>
                  </a:graphicData>
                </a:graphic>
              </wp:inline>
            </w:drawing>
          </mc:Choice>
          <mc:Fallback>
            <w:pict>
              <v:shape id="_x0000_i1069" type="#_x0000_t202" style="width:413.6pt;height:24.2pt;mso-position-horizontal-relative:char;mso-position-vertical-relative:line" filled="t" fillcolor="#efefef" stroked="f">
                <v:fill type="solid"/>
                <v:textbox inset="0,0,0,0">
                  <w:txbxContent>
                    <w:p>
                      <w:pPr>
                        <w:pStyle w:val="BodyText"/>
                        <w:spacing w:line="264" w:lineRule="auto"/>
                        <w:ind w:right="604"/>
                      </w:pPr>
                      <w:r>
                        <w:t>In che misura minima gli investimenti sostenibili con un obiettivo ambientale sono allineati alla tassonomia dell’UE?</w:t>
                      </w:r>
                    </w:p>
                  </w:txbxContent>
                </v:textbox>
                <w10:anchorlock/>
              </v:shape>
            </w:pict>
          </mc:Fallback>
        </mc:AlternateContent>
      </w:r>
    </w:p>
    <w:p>
      <w:pPr>
        <w:pStyle w:val="BodyText"/>
        <w:spacing w:before="75"/>
      </w:pPr>
    </w:p>
    <w:p>
      <w:pPr>
        <w:pStyle w:val="BodyText"/>
        <w:spacing w:line="264" w:lineRule="auto"/>
        <w:ind w:left="2135" w:right="689"/>
      </w:pPr>
      <w:r>
        <w:rPr>
          <w:sz w:val="16"/>
        </w:rPr>
        <w:t>Sebbene il prodotto finanziario promuova caratteristiche ambientali, non è previsto che i suoi investimenti sottostanti tengano conto dei criteri del regolamento sulla tassonomia dell’UE relativi alle attività economiche sostenibili dal punto di vista ambientale volte alla mitigazione dei cambiamenti climatici e/o all’adattamento ai cambiamenti climatici (gli unici due dei sei obiettivi ambientali previsti dal regolamento sulla tassonomia dell’UE per i quali sono stati definiti criteri di screening tecnici tramite atti delegati). Di conseguenza, il prodotto finanziario non intende effettuare investimenti che rientrino nell’ambito di applicazione del regolamento sulla tassonomia dell’UE.</w:t>
      </w:r>
    </w:p>
    <w:p>
      <w:pPr>
        <w:pStyle w:val="BodyText"/>
      </w:pPr>
      <w:r>
        <mc:AlternateContent>
          <mc:Choice Requires="wps">
            <w:drawing>
              <wp:anchor distT="0" distB="0" distL="0" distR="0" simplePos="0" relativeHeight="251755520" behindDoc="1" locked="0" layoutInCell="1" allowOverlap="1">
                <wp:simplePos x="0" y="0"/>
                <wp:positionH relativeFrom="page">
                  <wp:posOffset>1625600</wp:posOffset>
                </wp:positionH>
                <wp:positionV relativeFrom="paragraph">
                  <wp:posOffset>147277</wp:posOffset>
                </wp:positionV>
                <wp:extent cx="5570220" cy="307340"/>
                <wp:effectExtent l="0" t="0" r="0" b="0"/>
                <wp:wrapTopAndBottom/>
                <wp:docPr id="55" name="Textbox 55"/>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Il prodotto finanziario investe in attività legate al gas fossile e/o all’energia nucleare¹ conformi alla tassonomia dell’UE?</w:t>
                            </w:r>
                          </w:p>
                        </w:txbxContent>
                      </wps:txbx>
                      <wps:bodyPr wrap="square" lIns="0" tIns="0" rIns="0" bIns="0" rtlCol="0"/>
                    </wps:wsp>
                  </a:graphicData>
                </a:graphic>
              </wp:anchor>
            </w:drawing>
          </mc:Choice>
          <mc:Fallback>
            <w:pict>
              <v:shape id="_x0000_s1070" type="#_x0000_t202" style="width:438.6pt;height:24.2pt;margin-top:11.6pt;margin-left:128pt;mso-position-horizontal-relative:page;mso-wrap-distance-left:0;mso-wrap-distance-right:0;position:absolute;z-index:-251559936" filled="t" fillcolor="#efefef" stroked="f">
                <v:fill type="solid"/>
                <v:textbox inset="0,0,0,0">
                  <w:txbxContent>
                    <w:p>
                      <w:pPr>
                        <w:pStyle w:val="BodyText"/>
                        <w:spacing w:line="264" w:lineRule="auto"/>
                        <w:ind w:right="629"/>
                      </w:pPr>
                      <w:r>
                        <w:t>Il prodotto finanziario investe in attività correlate al gas fossile e/o all’energia nucleare¹ conformi alla tassonomia dell’UE?</w:t>
                      </w:r>
                    </w:p>
                  </w:txbxContent>
                </v:textbox>
                <w10:wrap type="topAndBottom"/>
              </v:shape>
            </w:pict>
          </mc:Fallback>
        </mc:AlternateContent>
      </w:r>
    </w:p>
    <w:p>
      <w:pPr>
        <w:pStyle w:val="BodyText"/>
        <w:spacing w:before="54"/>
        <w:ind w:left="2635"/>
      </w:pPr>
      <w:r>
        <w:rPr>
          <w:spacing w:val="-4"/>
          <w:sz w:val="16"/>
        </w:rPr>
        <w:t>Sì:</w:t>
      </w:r>
    </w:p>
    <w:p>
      <w:pPr>
        <w:pStyle w:val="BodyText"/>
        <w:spacing w:before="116"/>
      </w:pPr>
    </w:p>
    <w:p>
      <w:pPr>
        <w:pStyle w:val="BodyText"/>
        <w:tabs>
          <w:tab w:val="left" w:pos="4159"/>
        </w:tabs>
        <w:ind w:right="54"/>
        <w:jc w:val="center"/>
      </w:pPr>
      <w:r>
        <mc:AlternateContent>
          <mc:Choice Requires="wps">
            <w:drawing>
              <wp:anchor distT="0" distB="0" distL="0" distR="0" simplePos="0" relativeHeight="251691008" behindDoc="0" locked="0" layoutInCell="1" allowOverlap="1">
                <wp:simplePos x="0" y="0"/>
                <wp:positionH relativeFrom="page">
                  <wp:posOffset>1727200</wp:posOffset>
                </wp:positionH>
                <wp:positionV relativeFrom="paragraph">
                  <wp:posOffset>-332717</wp:posOffset>
                </wp:positionV>
                <wp:extent cx="158750" cy="158750"/>
                <wp:effectExtent l="0" t="0" r="0" b="0"/>
                <wp:wrapNone/>
                <wp:docPr id="56" name="Graphic 56"/>
                <wp:cNvGraphicFramePr/>
                <a:graphic xmlns:a="http://schemas.openxmlformats.org/drawingml/2006/main">
                  <a:graphicData uri="http://schemas.microsoft.com/office/word/2010/wordprocessingShape">
                    <wps:wsp xmlns:wps="http://schemas.microsoft.com/office/word/2010/wordprocessingShape">
                      <wps:cNvSpPr/>
                      <wps:spPr>
                        <a:xfrm>
                          <a:off x="0" y="0"/>
                          <a:ext cx="158750" cy="158750"/>
                        </a:xfrm>
                        <a:custGeom>
                          <a:avLst/>
                          <a:gdLst/>
                          <a:rect l="l" t="t" r="r" b="b"/>
                          <a:pathLst>
                            <a:path fill="norm" h="158750" w="158750" stroke="1">
                              <a:moveTo>
                                <a:pt x="158750" y="158749"/>
                              </a:moveTo>
                              <a:lnTo>
                                <a:pt x="0" y="158749"/>
                              </a:lnTo>
                              <a:lnTo>
                                <a:pt x="0" y="0"/>
                              </a:lnTo>
                              <a:lnTo>
                                <a:pt x="158750" y="0"/>
                              </a:lnTo>
                              <a:lnTo>
                                <a:pt x="158750" y="158749"/>
                              </a:lnTo>
                              <a:close/>
                            </a:path>
                          </a:pathLst>
                        </a:custGeom>
                        <a:solidFill>
                          <a:srgbClr val="F0F0F0"/>
                        </a:solidFill>
                      </wps:spPr>
                      <wps:bodyPr wrap="square" lIns="0" tIns="0" rIns="0" bIns="0" rtlCol="0">
                        <a:prstTxWarp prst="textNoShape">
                          <a:avLst/>
                        </a:prstTxWarp>
                      </wps:bodyPr>
                    </wps:wsp>
                  </a:graphicData>
                </a:graphic>
              </wp:anchor>
            </w:drawing>
          </mc:Choice>
          <mc:Fallback>
            <w:pict>
              <v:rect id="_x0000_s1071" style="width:12.5pt;height:12.5pt;margin-top:-26.2pt;margin-left:136pt;mso-position-horizontal-relative:page;position:absolute;z-index:251692032" filled="t" fillcolor="#f0f0f0" stroked="f">
                <v:fill type="solid"/>
              </v:rect>
            </w:pict>
          </mc:Fallback>
        </mc:AlternateContent>
      </w:r>
      <w:r>
        <mc:AlternateContent>
          <mc:Choice Requires="wps">
            <w:drawing>
              <wp:anchor distT="0" distB="0" distL="0" distR="0" simplePos="0" relativeHeight="251712512" behindDoc="1" locked="0" layoutInCell="1" allowOverlap="1">
                <wp:simplePos x="0" y="0"/>
                <wp:positionH relativeFrom="page">
                  <wp:posOffset>4381500</wp:posOffset>
                </wp:positionH>
                <wp:positionV relativeFrom="paragraph">
                  <wp:posOffset>3832</wp:posOffset>
                </wp:positionV>
                <wp:extent cx="158750" cy="158750"/>
                <wp:effectExtent l="0" t="0" r="0" b="0"/>
                <wp:wrapNone/>
                <wp:docPr id="57" name="Graphic 57"/>
                <wp:cNvGraphicFramePr/>
                <a:graphic xmlns:a="http://schemas.openxmlformats.org/drawingml/2006/main">
                  <a:graphicData uri="http://schemas.microsoft.com/office/word/2010/wordprocessingShape">
                    <wps:wsp xmlns:wps="http://schemas.microsoft.com/office/word/2010/wordprocessingShape">
                      <wps:cNvSpPr/>
                      <wps:spPr>
                        <a:xfrm>
                          <a:off x="0" y="0"/>
                          <a:ext cx="158750" cy="158750"/>
                        </a:xfrm>
                        <a:custGeom>
                          <a:avLst/>
                          <a:gdLst/>
                          <a:rect l="l" t="t" r="r" b="b"/>
                          <a:pathLst>
                            <a:path fill="norm" h="158750" w="158750" stroke="1">
                              <a:moveTo>
                                <a:pt x="158750" y="158749"/>
                              </a:moveTo>
                              <a:lnTo>
                                <a:pt x="0" y="158749"/>
                              </a:lnTo>
                              <a:lnTo>
                                <a:pt x="0" y="0"/>
                              </a:lnTo>
                              <a:lnTo>
                                <a:pt x="158750" y="0"/>
                              </a:lnTo>
                              <a:lnTo>
                                <a:pt x="158750" y="158749"/>
                              </a:lnTo>
                              <a:close/>
                            </a:path>
                          </a:pathLst>
                        </a:custGeom>
                        <a:solidFill>
                          <a:srgbClr val="F0F0F0"/>
                        </a:solidFill>
                      </wps:spPr>
                      <wps:bodyPr wrap="square" lIns="0" tIns="0" rIns="0" bIns="0" rtlCol="0">
                        <a:prstTxWarp prst="textNoShape">
                          <a:avLst/>
                        </a:prstTxWarp>
                      </wps:bodyPr>
                    </wps:wsp>
                  </a:graphicData>
                </a:graphic>
              </wp:anchor>
            </w:drawing>
          </mc:Choice>
          <mc:Fallback>
            <w:pict>
              <v:rect id="_x0000_s1072" style="width:12.5pt;height:12.5pt;margin-top:0.3pt;margin-left:345pt;mso-position-horizontal-relative:page;position:absolute;z-index:-251602944" filled="t" fillcolor="#f0f0f0" stroked="f">
                <v:fill type="solid"/>
              </v:rect>
            </w:pict>
          </mc:Fallback>
        </mc:AlternateContent>
      </w:r>
      <w:r>
        <w:rPr>
          <w:position w:val="-7"/>
        </w:rPr>
        <w:drawing>
          <wp:inline distT="0" distB="0" distL="0" distR="0">
            <wp:extent cx="177800" cy="152400"/>
            <wp:effectExtent l="0" t="0" r="0" b="0"/>
            <wp:docPr id="58" name="Image 58"/>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xmlns:r="http://schemas.openxmlformats.org/officeDocument/2006/relationships" r:embed="rId15" cstate="print"/>
                    <a:stretch>
                      <a:fillRect/>
                    </a:stretch>
                  </pic:blipFill>
                  <pic:spPr>
                    <a:xfrm>
                      <a:off x="0" y="0"/>
                      <a:ext cx="177800" cy="152400"/>
                    </a:xfrm>
                    <a:prstGeom prst="rect">
                      <a:avLst/>
                    </a:prstGeom>
                  </pic:spPr>
                </pic:pic>
              </a:graphicData>
            </a:graphic>
          </wp:inline>
        </w:drawing>
      </w:r>
      <w:r>
        <w:rPr>
          <w:rFonts w:ascii="Times New Roman"/>
          <w:sz w:val="18"/>
        </w:rPr>
        <w:t xml:space="preserve"> </w:t>
      </w:r>
      <w:r>
        <w:rPr>
          <w:sz w:val="16"/>
        </w:rPr>
        <w:t>Nel gas fossile</w:t>
      </w:r>
      <w:r>
        <w:rPr>
          <w:sz w:val="16"/>
        </w:rPr>
        <w:tab/>
      </w:r>
      <w:r>
        <w:rPr>
          <w:sz w:val="16"/>
        </w:rPr>
        <w:t xml:space="preserve">Nel settore </w:t>
      </w:r>
      <w:r>
        <w:rPr>
          <w:sz w:val="16"/>
        </w:rPr>
        <w:t>dell’energia nucleare</w:t>
      </w:r>
    </w:p>
    <w:p>
      <w:pPr>
        <w:spacing w:before="182"/>
        <w:ind w:left="2295" w:right="0" w:firstLine="0"/>
        <w:jc w:val="left"/>
        <w:rPr>
          <w:position w:val="2"/>
          <w:sz w:val="18"/>
        </w:rPr>
      </w:pPr>
      <w:r>
        <w:rPr>
          <w:b/>
          <w:sz w:val="18"/>
          <w:shd w:val="clear" w:color="auto" w:fill="F0F0F0"/>
        </w:rPr>
        <w:t xml:space="preserve"> X </w:t>
      </w:r>
      <w:r>
        <w:rPr>
          <w:spacing w:val="-5"/>
          <w:position w:val="2"/>
          <w:sz w:val="16"/>
        </w:rPr>
        <w:t xml:space="preserve"> No</w:t>
      </w:r>
    </w:p>
    <w:p>
      <w:pPr>
        <w:pStyle w:val="BodyText"/>
        <w:spacing w:before="201" w:line="264" w:lineRule="auto"/>
        <w:ind w:left="2135" w:right="629"/>
      </w:pPr>
      <w:r>
        <w:rPr>
          <w:sz w:val="16"/>
        </w:rPr>
        <w:t>Tuttavia, mancano dati affidabili in merito alle attività legate al gas fossile e/o all’energia nucleare conformi alla tassonomia dell’UE. Su questa base, sebbene si ritenga che non vengano effettuati investimenti rilevanti, è possibile che il prodotto finanziario effettui alcuni investimenti in attività legate al gas fossile e/o all’energia nucleare conformi alla tassonomia dell’UE.</w:t>
      </w:r>
    </w:p>
    <w:p>
      <w:pPr>
        <w:pStyle w:val="BodyText"/>
        <w:spacing w:before="127"/>
      </w:pPr>
    </w:p>
    <w:p>
      <w:pPr>
        <w:spacing w:before="1" w:line="264" w:lineRule="auto"/>
        <w:ind w:left="2135" w:right="629" w:firstLine="0"/>
        <w:jc w:val="left"/>
        <w:rPr>
          <w:sz w:val="16"/>
        </w:rPr>
      </w:pPr>
      <w:r>
        <w:rPr>
          <w:sz w:val="16"/>
        </w:rPr>
        <mc:AlternateContent>
          <mc:Choice Requires="wpg">
            <w:drawing>
              <wp:anchor distT="0" distB="0" distL="0" distR="0" simplePos="0" relativeHeight="251714560" behindDoc="1" locked="0" layoutInCell="1" allowOverlap="1">
                <wp:simplePos x="0" y="0"/>
                <wp:positionH relativeFrom="page">
                  <wp:posOffset>1625600</wp:posOffset>
                </wp:positionH>
                <wp:positionV relativeFrom="paragraph">
                  <wp:posOffset>575418</wp:posOffset>
                </wp:positionV>
                <wp:extent cx="5570220" cy="4839970"/>
                <wp:effectExtent l="0" t="0" r="0" b="0"/>
                <wp:wrapNone/>
                <wp:docPr id="59" name="Group 59"/>
                <wp:cNvGraphicFramePr/>
                <a:graphic xmlns:a="http://schemas.openxmlformats.org/drawingml/2006/main">
                  <a:graphicData uri="http://schemas.microsoft.com/office/word/2010/wordprocessingGroup">
                    <wpg:wgp xmlns:wpg="http://schemas.microsoft.com/office/word/2010/wordprocessingGroup">
                      <wpg:cNvGrpSpPr/>
                      <wpg:grpSpPr>
                        <a:xfrm>
                          <a:off x="0" y="0"/>
                          <a:ext cx="5570220" cy="4839970"/>
                          <a:chOff x="0" y="0"/>
                          <a:chExt cx="5570220" cy="4839970"/>
                        </a:xfrm>
                      </wpg:grpSpPr>
                      <wps:wsp xmlns:wps="http://schemas.microsoft.com/office/word/2010/wordprocessingShape">
                        <wps:cNvPr id="60" name="Graphic 60"/>
                        <wps:cNvSpPr/>
                        <wps:spPr>
                          <a:xfrm>
                            <a:off x="0" y="0"/>
                            <a:ext cx="5570220" cy="4839970"/>
                          </a:xfrm>
                          <a:custGeom>
                            <a:avLst/>
                            <a:gdLst/>
                            <a:rect l="l" t="t" r="r" b="b"/>
                            <a:pathLst>
                              <a:path fill="norm" h="4839970" w="5570220" stroke="1">
                                <a:moveTo>
                                  <a:pt x="5570220" y="4839970"/>
                                </a:moveTo>
                                <a:lnTo>
                                  <a:pt x="0" y="4839970"/>
                                </a:lnTo>
                                <a:lnTo>
                                  <a:pt x="0" y="0"/>
                                </a:lnTo>
                                <a:lnTo>
                                  <a:pt x="5570220" y="0"/>
                                </a:lnTo>
                                <a:lnTo>
                                  <a:pt x="5570220" y="4839970"/>
                                </a:lnTo>
                                <a:close/>
                              </a:path>
                            </a:pathLst>
                          </a:custGeom>
                          <a:solidFill>
                            <a:srgbClr val="EFEFEF"/>
                          </a:solidFill>
                        </wps:spPr>
                        <wps:bodyPr wrap="square" lIns="0" tIns="0" rIns="0" bIns="0" rtlCol="0">
                          <a:prstTxWarp prst="textNoShape">
                            <a:avLst/>
                          </a:prstTxWarp>
                        </wps:bodyPr>
                      </wps:wsp>
                      <pic:pic xmlns:pic="http://schemas.openxmlformats.org/drawingml/2006/picture">
                        <pic:nvPicPr>
                          <pic:cNvPr id="61" name="Image 61"/>
                          <pic:cNvPicPr/>
                        </pic:nvPicPr>
                        <pic:blipFill>
                          <a:blip xmlns:r="http://schemas.openxmlformats.org/officeDocument/2006/relationships" r:embed="rId16" cstate="print"/>
                          <a:stretch>
                            <a:fillRect/>
                          </a:stretch>
                        </pic:blipFill>
                        <pic:spPr>
                          <a:xfrm>
                            <a:off x="177800" y="1322069"/>
                            <a:ext cx="2540000" cy="1587500"/>
                          </a:xfrm>
                          <a:prstGeom prst="rect">
                            <a:avLst/>
                          </a:prstGeom>
                        </pic:spPr>
                      </pic:pic>
                      <pic:pic xmlns:pic="http://schemas.openxmlformats.org/drawingml/2006/picture">
                        <pic:nvPicPr>
                          <pic:cNvPr id="62" name="Image 62"/>
                          <pic:cNvPicPr/>
                        </pic:nvPicPr>
                        <pic:blipFill>
                          <a:blip xmlns:r="http://schemas.openxmlformats.org/officeDocument/2006/relationships" r:embed="rId17" cstate="print"/>
                          <a:stretch>
                            <a:fillRect/>
                          </a:stretch>
                        </pic:blipFill>
                        <pic:spPr>
                          <a:xfrm>
                            <a:off x="2870200" y="1322069"/>
                            <a:ext cx="2540000" cy="1587500"/>
                          </a:xfrm>
                          <a:prstGeom prst="rect">
                            <a:avLst/>
                          </a:prstGeom>
                        </pic:spPr>
                      </pic:pic>
                      <wps:wsp xmlns:wps="http://schemas.microsoft.com/office/word/2010/wordprocessingShape">
                        <wps:cNvPr id="63" name="Textbox 63"/>
                        <wps:cNvSpPr txBox="1"/>
                        <wps:spPr>
                          <a:xfrm>
                            <a:off x="292100" y="50768"/>
                            <a:ext cx="4716780" cy="874394"/>
                          </a:xfrm>
                          <a:prstGeom prst="rect">
                            <a:avLst/>
                          </a:prstGeom>
                        </wps:spPr>
                        <wps:txbx>
                          <w:txbxContent>
                            <w:p>
                              <w:pPr>
                                <w:spacing w:before="10" w:line="264" w:lineRule="auto"/>
                                <w:ind w:left="20" w:right="55" w:firstLine="0"/>
                                <w:jc w:val="left"/>
                                <w:rPr>
                                  <w:b/>
                                  <w:i/>
                                  <w:sz w:val="18"/>
                                </w:rPr>
                              </w:pPr>
                              <w:r>
                                <w:rPr>
                                  <w:b/>
                                  <w:i/>
                                  <w:sz w:val="16"/>
                                </w:rPr>
                                <w:t>I due grafici riportati di seguito mostrano in verde la percentuale minima di investimenti allineati alla tassonomia dell’UE. Poiché non esiste una metodologia adeguata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di Stato.</w:t>
                              </w:r>
                            </w:p>
                          </w:txbxContent>
                        </wps:txbx>
                        <wps:bodyPr wrap="square" lIns="0" tIns="0" rIns="0" bIns="0" rtlCol="0"/>
                      </wps:wsp>
                      <wps:wsp xmlns:wps="http://schemas.microsoft.com/office/word/2010/wordprocessingShape">
                        <wps:cNvPr id="64" name="Textbox 64"/>
                        <wps:cNvSpPr txBox="1"/>
                        <wps:spPr>
                          <a:xfrm>
                            <a:off x="266700" y="1048988"/>
                            <a:ext cx="1986914" cy="297815"/>
                          </a:xfrm>
                          <a:prstGeom prst="rect">
                            <a:avLst/>
                          </a:prstGeom>
                        </wps:spPr>
                        <wps:txbx>
                          <w:txbxContent>
                            <w:p>
                              <w:pPr>
                                <w:spacing w:before="14"/>
                                <w:ind w:left="20" w:right="0" w:firstLine="0"/>
                                <w:jc w:val="left"/>
                                <w:rPr>
                                  <w:sz w:val="18"/>
                                </w:rPr>
                              </w:pPr>
                              <w:r>
                                <w:rPr>
                                  <w:sz w:val="16"/>
                                </w:rPr>
                                <w:t>1. Allineamento alla tassonomia degli investimenti</w:t>
                              </w:r>
                            </w:p>
                            <w:p>
                              <w:pPr>
                                <w:spacing w:before="20"/>
                                <w:ind w:left="20" w:right="0" w:firstLine="0"/>
                                <w:jc w:val="left"/>
                                <w:rPr>
                                  <w:b/>
                                  <w:sz w:val="18"/>
                                </w:rPr>
                              </w:pPr>
                              <w:r>
                                <w:rPr>
                                  <w:b/>
                                  <w:sz w:val="16"/>
                                </w:rPr>
                                <w:t>compresi i titoli di Stato*</w:t>
                              </w:r>
                            </w:p>
                          </w:txbxContent>
                        </wps:txbx>
                        <wps:bodyPr wrap="square" lIns="0" tIns="0" rIns="0" bIns="0" rtlCol="0"/>
                      </wps:wsp>
                      <wps:wsp xmlns:wps="http://schemas.microsoft.com/office/word/2010/wordprocessingShape">
                        <wps:cNvPr id="65" name="Textbox 65"/>
                        <wps:cNvSpPr txBox="1"/>
                        <wps:spPr>
                          <a:xfrm>
                            <a:off x="2959100" y="1048988"/>
                            <a:ext cx="1986914" cy="297815"/>
                          </a:xfrm>
                          <a:prstGeom prst="rect">
                            <a:avLst/>
                          </a:prstGeom>
                        </wps:spPr>
                        <wps:txbx>
                          <w:txbxContent>
                            <w:p>
                              <w:pPr>
                                <w:spacing w:before="14"/>
                                <w:ind w:left="20" w:right="0" w:firstLine="0"/>
                                <w:jc w:val="left"/>
                                <w:rPr>
                                  <w:sz w:val="18"/>
                                </w:rPr>
                              </w:pPr>
                              <w:r>
                                <w:rPr>
                                  <w:sz w:val="16"/>
                                </w:rPr>
                                <w:t>2. Allineamento alla tassonomia degli investimenti</w:t>
                              </w:r>
                            </w:p>
                            <w:p>
                              <w:pPr>
                                <w:spacing w:before="20"/>
                                <w:ind w:left="20" w:right="0" w:firstLine="0"/>
                                <w:jc w:val="left"/>
                                <w:rPr>
                                  <w:b/>
                                  <w:sz w:val="18"/>
                                </w:rPr>
                              </w:pPr>
                              <w:r>
                                <w:rPr>
                                  <w:b/>
                                  <w:sz w:val="16"/>
                                </w:rPr>
                                <w:t>esclusi i titoli di Stato*</w:t>
                              </w:r>
                            </w:p>
                          </w:txbxContent>
                        </wps:txbx>
                        <wps:bodyPr wrap="square" lIns="0" tIns="0" rIns="0" bIns="0" rtlCol="0"/>
                      </wps:wsp>
                      <wps:wsp xmlns:wps="http://schemas.microsoft.com/office/word/2010/wordprocessingShape">
                        <wps:cNvPr id="66" name="Textbox 66"/>
                        <wps:cNvSpPr txBox="1"/>
                        <wps:spPr>
                          <a:xfrm>
                            <a:off x="165100" y="4208748"/>
                            <a:ext cx="4782820" cy="486409"/>
                          </a:xfrm>
                          <a:prstGeom prst="rect">
                            <a:avLst/>
                          </a:prstGeom>
                        </wps:spPr>
                        <wps:txbx>
                          <w:txbxContent>
                            <w:p>
                              <w:pPr>
                                <w:spacing w:before="14" w:line="264" w:lineRule="auto"/>
                                <w:ind w:left="4340" w:right="0" w:firstLine="0"/>
                                <w:jc w:val="left"/>
                                <w:rPr>
                                  <w:sz w:val="18"/>
                                </w:rPr>
                              </w:pPr>
                              <w:r>
                                <w:rPr>
                                  <w:sz w:val="16"/>
                                </w:rPr>
                                <w:t>Questo grafico rappresenta il 100% degli investimenti totali.</w:t>
                              </w:r>
                            </w:p>
                            <w:p>
                              <w:pPr>
                                <w:spacing w:before="68"/>
                                <w:ind w:left="20" w:right="0" w:firstLine="0"/>
                                <w:jc w:val="left"/>
                                <w:rPr>
                                  <w:i/>
                                  <w:sz w:val="18"/>
                                </w:rPr>
                              </w:pPr>
                              <w:r>
                                <w:rPr>
                                  <w:i/>
                                  <w:sz w:val="16"/>
                                </w:rPr>
                                <w:t>*Ai fini di questi grafici, per «titoli di Stato» si intendono tutte le esposizioni sovrane</w:t>
                              </w:r>
                            </w:p>
                          </w:txbxContent>
                        </wps:txbx>
                        <wps:bodyPr wrap="square" lIns="0" tIns="0" rIns="0" bIns="0" rtlCol="0"/>
                      </wps:wsp>
                    </wpg:wgp>
                  </a:graphicData>
                </a:graphic>
              </wp:anchor>
            </w:drawing>
          </mc:Choice>
          <mc:Fallback>
            <w:pict>
              <v:group id="_x0000_s1073" style="width:438.6pt;height:381.1pt;margin-top:45.31pt;margin-left:128pt;mso-position-horizontal-relative:page;position:absolute;z-index:-251600896" coordorigin="2560,906" coordsize="8772,7622">
                <v:rect id="_x0000_s1074" style="width:8772;height:7622;left:2560;position:absolute;top:906" filled="t" fillcolor="#efefef" stroked="f">
                  <v:fill type="soli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5" type="#_x0000_t75" style="width:4000;height:2500;left:2840;position:absolute;top:2988" stroked="f">
                  <v:imagedata r:id="rId16" o:title=""/>
                </v:shape>
                <v:shape id="_x0000_s1076" type="#_x0000_t75" style="width:4000;height:2500;left:7080;position:absolute;top:2988" stroked="f">
                  <v:imagedata r:id="rId17" o:title=""/>
                </v:shape>
                <v:shape id="_x0000_s1077" type="#_x0000_t202" style="width:7428;height:1377;left:3020;position:absolute;top:986" filled="f" stroked="f">
                  <v:textbox inset="0,0,0,0">
                    <w:txbxContent>
                      <w:p>
                        <w:pPr>
                          <w:spacing w:before="10" w:line="264" w:lineRule="auto"/>
                          <w:ind w:left="20" w:right="55" w:firstLine="0"/>
                          <w:jc w:val="left"/>
                          <w:rPr>
                            <w:b/>
                            <w:i/>
                            <w:sz w:val="18"/>
                          </w:rPr>
                        </w:pPr>
                        <w:r>
                          <w:rPr>
                            <w:b/>
                            <w:i/>
                            <w:sz w:val="18"/>
                          </w:rPr>
                          <w:t>I due grafici sottostanti mostrano in verde la percentuale minima di investimenti allineati alla tassonomia dell’UE. Poiché non esiste una metodologia adeguata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di Stato.</w:t>
                        </w:r>
                      </w:p>
                    </w:txbxContent>
                  </v:textbox>
                </v:shape>
                <v:shape id="_x0000_s1078" type="#_x0000_t202" style="width:3129;height:469;left:2980;position:absolute;top:2558" filled="f" stroked="f">
                  <v:textbox inset="0,0,0,0">
                    <w:txbxContent>
                      <w:p>
                        <w:pPr>
                          <w:spacing w:before="14"/>
                          <w:ind w:left="20" w:right="0" w:firstLine="0"/>
                          <w:jc w:val="left"/>
                          <w:rPr>
                            <w:sz w:val="18"/>
                          </w:rPr>
                        </w:pPr>
                        <w:r>
                          <w:rPr>
                            <w:sz w:val="18"/>
                          </w:rPr>
                          <w:t>1. Allineamento alla tassonomia degli investimenti</w:t>
                        </w:r>
                      </w:p>
                      <w:p>
                        <w:pPr>
                          <w:spacing w:before="20"/>
                          <w:ind w:left="20" w:right="0" w:firstLine="0"/>
                          <w:jc w:val="left"/>
                          <w:rPr>
                            <w:b/>
                            <w:sz w:val="18"/>
                          </w:rPr>
                        </w:pPr>
                        <w:r>
                          <w:rPr>
                            <w:b/>
                            <w:sz w:val="18"/>
                          </w:rPr>
                          <w:t>compresi i titoli sovrani*</w:t>
                        </w:r>
                      </w:p>
                    </w:txbxContent>
                  </v:textbox>
                </v:shape>
                <v:shape id="_x0000_s1079" type="#_x0000_t202" style="width:3129;height:469;left:7220;position:absolute;top:2558" filled="f" stroked="f">
                  <v:textbox inset="0,0,0,0">
                    <w:txbxContent>
                      <w:p>
                        <w:pPr>
                          <w:spacing w:before="14"/>
                          <w:ind w:left="20" w:right="0" w:firstLine="0"/>
                          <w:jc w:val="left"/>
                          <w:rPr>
                            <w:sz w:val="18"/>
                          </w:rPr>
                        </w:pPr>
                        <w:r>
                          <w:rPr>
                            <w:sz w:val="18"/>
                          </w:rPr>
                          <w:t>2. Allineamento alla tassonomia degli investimenti</w:t>
                        </w:r>
                      </w:p>
                      <w:p>
                        <w:pPr>
                          <w:spacing w:before="20"/>
                          <w:ind w:left="20" w:right="0" w:firstLine="0"/>
                          <w:jc w:val="left"/>
                          <w:rPr>
                            <w:b/>
                            <w:sz w:val="18"/>
                          </w:rPr>
                        </w:pPr>
                        <w:r>
                          <w:rPr>
                            <w:b/>
                            <w:sz w:val="18"/>
                          </w:rPr>
                          <w:t>esclusi i titoli di Stato*</w:t>
                        </w:r>
                      </w:p>
                    </w:txbxContent>
                  </v:textbox>
                </v:shape>
                <v:shape id="_x0000_s1080" type="#_x0000_t202" style="width:7532;height:766;left:2820;position:absolute;top:7534" filled="f" stroked="f">
                  <v:textbox inset="0,0,0,0">
                    <w:txbxContent>
                      <w:p>
                        <w:pPr>
                          <w:spacing w:before="14" w:line="264" w:lineRule="auto"/>
                          <w:ind w:left="4340" w:right="0" w:firstLine="0"/>
                          <w:jc w:val="left"/>
                          <w:rPr>
                            <w:sz w:val="18"/>
                          </w:rPr>
                        </w:pPr>
                        <w:r>
                          <w:rPr>
                            <w:sz w:val="18"/>
                          </w:rPr>
                          <w:t>Questo grafico rappresenta il 100% degli investimenti totali.</w:t>
                        </w:r>
                      </w:p>
                      <w:p>
                        <w:pPr>
                          <w:spacing w:before="68"/>
                          <w:ind w:left="20" w:right="0" w:firstLine="0"/>
                          <w:jc w:val="left"/>
                          <w:rPr>
                            <w:i/>
                            <w:sz w:val="18"/>
                          </w:rPr>
                        </w:pPr>
                        <w:r>
                          <w:rPr>
                            <w:i/>
                            <w:sz w:val="18"/>
                          </w:rPr>
                          <w:t>*Ai fini di questi grafici, per «obbligazioni sovrane» si intendono tutte le esposizioni sovrane</w:t>
                        </w:r>
                      </w:p>
                    </w:txbxContent>
                  </v:textbox>
                </v:shape>
              </v:group>
            </w:pict>
          </mc:Fallback>
        </mc:AlternateContent>
      </w:r>
      <w:r>
        <w:rPr>
          <w:sz w:val="16"/>
        </w:rPr>
        <mc:AlternateContent>
          <mc:Choice Requires="wps">
            <w:drawing>
              <wp:anchor distT="0" distB="0" distL="0" distR="0" simplePos="0" relativeHeight="251693056" behindDoc="0" locked="0" layoutInCell="1" allowOverlap="1">
                <wp:simplePos x="0" y="0"/>
                <wp:positionH relativeFrom="page">
                  <wp:posOffset>355600</wp:posOffset>
                </wp:positionH>
                <wp:positionV relativeFrom="paragraph">
                  <wp:posOffset>3918</wp:posOffset>
                </wp:positionV>
                <wp:extent cx="1168400" cy="3900170"/>
                <wp:effectExtent l="0" t="0" r="0" b="0"/>
                <wp:wrapNone/>
                <wp:docPr id="67" name="Textbox 67"/>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8400" cy="3900170"/>
                        </a:xfrm>
                        <a:prstGeom prst="rect">
                          <a:avLst/>
                        </a:prstGeom>
                        <a:solidFill>
                          <a:srgbClr val="EFEFEF"/>
                        </a:solidFill>
                      </wps:spPr>
                      <wps:txbx>
                        <w:txbxContent>
                          <w:p>
                            <w:pPr>
                              <w:spacing w:before="0" w:line="264" w:lineRule="auto"/>
                              <w:ind w:left="0" w:right="139" w:firstLine="0"/>
                              <w:jc w:val="left"/>
                              <w:rPr>
                                <w:sz w:val="16"/>
                              </w:rPr>
                            </w:pPr>
                            <w:r>
                              <w:rPr>
                                <w:sz w:val="15"/>
                              </w:rPr>
                              <w:t xml:space="preserve">Per conformarsi alla tassonomia dell’UE, i criteri relativi </w:t>
                            </w:r>
                            <w:r>
                              <w:rPr>
                                <w:b/>
                                <w:sz w:val="15"/>
                              </w:rPr>
                              <w:t xml:space="preserve">al gas fossile </w:t>
                            </w:r>
                            <w:r>
                              <w:rPr>
                                <w:sz w:val="15"/>
                              </w:rPr>
                              <w:t>includono limitazioni alle emissioni e il passaggio a energia rinnovabile o</w:t>
                            </w:r>
                          </w:p>
                          <w:p>
                            <w:pPr>
                              <w:spacing w:before="0" w:line="264" w:lineRule="auto"/>
                              <w:ind w:left="0" w:right="116" w:firstLine="0"/>
                              <w:jc w:val="left"/>
                              <w:rPr>
                                <w:sz w:val="16"/>
                              </w:rPr>
                            </w:pPr>
                            <w:r>
                              <w:rPr>
                                <w:sz w:val="15"/>
                              </w:rPr>
                              <w:t xml:space="preserve">combustibili a basse emissioni di carbonio entro la fine del 2035. Per </w:t>
                            </w:r>
                            <w:r>
                              <w:rPr>
                                <w:b/>
                                <w:sz w:val="15"/>
                              </w:rPr>
                              <w:t>l’energia nucleare</w:t>
                            </w:r>
                            <w:r>
                              <w:rPr>
                                <w:sz w:val="15"/>
                              </w:rPr>
                              <w:t>, i criteri includono norme complete in materia di sicurezza e gestione delle scorie.</w:t>
                            </w:r>
                          </w:p>
                          <w:p>
                            <w:pPr>
                              <w:pStyle w:val="BodyText"/>
                              <w:spacing w:before="7"/>
                              <w:rPr>
                                <w:sz w:val="16"/>
                              </w:rPr>
                            </w:pPr>
                          </w:p>
                          <w:p>
                            <w:pPr>
                              <w:spacing w:before="0" w:line="264" w:lineRule="auto"/>
                              <w:ind w:left="0" w:right="195" w:firstLine="0"/>
                              <w:jc w:val="left"/>
                              <w:rPr>
                                <w:sz w:val="16"/>
                              </w:rPr>
                            </w:pPr>
                            <w:r>
                              <w:rPr>
                                <w:b/>
                                <w:sz w:val="15"/>
                              </w:rPr>
                              <w:t xml:space="preserve">Le attività abilitanti </w:t>
                            </w:r>
                            <w:r>
                              <w:rPr>
                                <w:sz w:val="15"/>
                              </w:rPr>
                              <w:t>consentono direttamente ad altre attività di dare un contributo sostanziale a un obiettivo ambientale.</w:t>
                            </w:r>
                          </w:p>
                          <w:p>
                            <w:pPr>
                              <w:pStyle w:val="BodyText"/>
                              <w:spacing w:before="16"/>
                              <w:rPr>
                                <w:sz w:val="16"/>
                              </w:rPr>
                            </w:pPr>
                          </w:p>
                          <w:p>
                            <w:pPr>
                              <w:spacing w:before="0" w:line="264" w:lineRule="auto"/>
                              <w:ind w:left="0" w:right="157" w:firstLine="0"/>
                              <w:jc w:val="left"/>
                              <w:rPr>
                                <w:sz w:val="16"/>
                              </w:rPr>
                            </w:pPr>
                            <w:r>
                              <w:rPr>
                                <w:b/>
                                <w:sz w:val="15"/>
                              </w:rPr>
                              <w:t xml:space="preserve">Le attività di transizione </w:t>
                            </w:r>
                            <w:r>
                              <w:rPr>
                                <w:sz w:val="15"/>
                              </w:rPr>
                              <w:t>sono attività per le quali non sono ancora disponibili alternative a basse emissioni di carbonio e che, tra l’altro, presentano livelli di emissioni di gas serra corrispondenti alle migliori prestazioni.</w:t>
                            </w:r>
                          </w:p>
                        </w:txbxContent>
                      </wps:txbx>
                      <wps:bodyPr wrap="square" lIns="0" tIns="0" rIns="0" bIns="0" rtlCol="0"/>
                    </wps:wsp>
                  </a:graphicData>
                </a:graphic>
              </wp:anchor>
            </w:drawing>
          </mc:Choice>
          <mc:Fallback>
            <w:pict>
              <v:shape id="_x0000_s1081" type="#_x0000_t202" style="width:92pt;height:307.1pt;margin-top:0.31pt;margin-left:28pt;mso-position-horizontal-relative:page;position:absolute;z-index:251694080" filled="t" fillcolor="#efefef" stroked="f">
                <v:fill type="solid"/>
                <v:textbox inset="0,0,0,0">
                  <w:txbxContent>
                    <w:p>
                      <w:pPr>
                        <w:spacing w:before="0" w:line="264" w:lineRule="auto"/>
                        <w:ind w:left="0" w:right="139" w:firstLine="0"/>
                        <w:jc w:val="left"/>
                        <w:rPr>
                          <w:sz w:val="16"/>
                        </w:rPr>
                      </w:pPr>
                      <w:r>
                        <w:rPr>
                          <w:sz w:val="16"/>
                        </w:rPr>
                        <w:t xml:space="preserve">Per conformarsi alla tassonomia dell’UE, i criteri relativi </w:t>
                      </w:r>
                      <w:r>
                        <w:rPr>
                          <w:b/>
                          <w:sz w:val="16"/>
                        </w:rPr>
                        <w:t xml:space="preserve">al gas fossile </w:t>
                      </w:r>
                      <w:r>
                        <w:rPr>
                          <w:sz w:val="16"/>
                        </w:rPr>
                        <w:t>prevedono limiti alle emissioni e il passaggio all’energia rinnovabile o a</w:t>
                      </w:r>
                    </w:p>
                    <w:p>
                      <w:pPr>
                        <w:spacing w:before="0" w:line="264" w:lineRule="auto"/>
                        <w:ind w:left="0" w:right="116" w:firstLine="0"/>
                        <w:jc w:val="left"/>
                        <w:rPr>
                          <w:sz w:val="16"/>
                        </w:rPr>
                      </w:pPr>
                      <w:r>
                        <w:rPr>
                          <w:sz w:val="16"/>
                        </w:rPr>
                        <w:t xml:space="preserve">combustibili a basse emissioni di carbonio entro la fine del 2035. Per </w:t>
                      </w:r>
                      <w:r>
                        <w:rPr>
                          <w:b/>
                          <w:sz w:val="16"/>
                        </w:rPr>
                        <w:t>l’energia nucleare</w:t>
                      </w:r>
                      <w:r>
                        <w:rPr>
                          <w:sz w:val="16"/>
                        </w:rPr>
                        <w:t>, i criteri includono norme complete in materia di sicurezza e gestione dei rifiuti.</w:t>
                      </w:r>
                    </w:p>
                    <w:p>
                      <w:pPr>
                        <w:pStyle w:val="BodyText"/>
                        <w:spacing w:before="7"/>
                        <w:rPr>
                          <w:sz w:val="16"/>
                        </w:rPr>
                      </w:pPr>
                    </w:p>
                    <w:p>
                      <w:pPr>
                        <w:spacing w:before="0" w:line="264" w:lineRule="auto"/>
                        <w:ind w:left="0" w:right="195" w:firstLine="0"/>
                        <w:jc w:val="left"/>
                        <w:rPr>
                          <w:sz w:val="16"/>
                        </w:rPr>
                      </w:pPr>
                      <w:r>
                        <w:rPr>
                          <w:b/>
                          <w:sz w:val="16"/>
                        </w:rPr>
                        <w:t xml:space="preserve">Le attività abilitanti </w:t>
                      </w:r>
                      <w:r>
                        <w:rPr>
                          <w:sz w:val="16"/>
                        </w:rPr>
                        <w:t>consentono direttamente ad altre attività di dare un contributo sostanziale a un obiettivo ambientale.</w:t>
                      </w:r>
                    </w:p>
                    <w:p>
                      <w:pPr>
                        <w:pStyle w:val="BodyText"/>
                        <w:spacing w:before="16"/>
                        <w:rPr>
                          <w:sz w:val="16"/>
                        </w:rPr>
                      </w:pPr>
                    </w:p>
                    <w:p>
                      <w:pPr>
                        <w:spacing w:before="0" w:line="264" w:lineRule="auto"/>
                        <w:ind w:left="0" w:right="157" w:firstLine="0"/>
                        <w:jc w:val="left"/>
                        <w:rPr>
                          <w:sz w:val="16"/>
                        </w:rPr>
                      </w:pPr>
                      <w:r>
                        <w:rPr>
                          <w:b/>
                          <w:sz w:val="16"/>
                        </w:rPr>
                        <w:t xml:space="preserve">Le attività di transizione </w:t>
                      </w:r>
                      <w:r>
                        <w:rPr>
                          <w:sz w:val="16"/>
                        </w:rPr>
                        <w:t>sono quelle per le quali non sono ancora disponibili alternative a basse emissioni di carbonio e che, tra l’altro, presentano livelli di emissioni di gas serra corrispondenti alle migliori prestazioni.</w:t>
                      </w:r>
                    </w:p>
                  </w:txbxContent>
                </v:textbox>
              </v:shape>
            </w:pict>
          </mc:Fallback>
        </mc:AlternateContent>
      </w:r>
      <w:r>
        <w:rPr>
          <w:sz w:val="15"/>
        </w:rPr>
        <w:t>¹ Le attività relative al gas fossile e/o al nucleare saranno conformi alla Tassonomia dell’UE solo se contribuiscono a limitare il cambiamento climatico (“mitigazione del cambiamento climatico”) e non compromettono in modo significativo alcun obiettivo della Tassonomia dell’UE – si veda la nota esplicativa nel margine sinistro. I criteri completi per le attività economiche relative al gas fossile e all’energia nucleare conformi alla Tassonomia dell’UE sono stabiliti nel Regolamento delegato (UE) 2022/1214 della Commissione.</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37" w:after="1"/>
        <w:rPr>
          <w:sz w:val="20"/>
        </w:rPr>
      </w:pPr>
    </w:p>
    <w:tbl>
      <w:tblPr>
        <w:tblStyle w:val="TableNormal"/>
        <w:tblW w:w="0" w:type="auto"/>
        <w:jc w:val="left"/>
        <w:tblInd w:w="2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446"/>
        <w:gridCol w:w="894"/>
        <w:gridCol w:w="900"/>
        <w:gridCol w:w="2446"/>
        <w:gridCol w:w="894"/>
      </w:tblGrid>
      <w:tr>
        <w:tblPrEx>
          <w:tblW w:w="0" w:type="auto"/>
          <w:tblInd w:w="2462" w:type="dxa"/>
          <w:tblLayout w:type="fixed"/>
          <w:tblLook w:val="01E0"/>
        </w:tblPrEx>
        <w:trPr>
          <w:trHeight w:val="418"/>
        </w:trPr>
        <w:tc>
          <w:tcPr>
            <w:tcW w:w="2446" w:type="dxa"/>
            <w:shd w:val="clear" w:color="auto" w:fill="EFEFEF"/>
          </w:tcPr>
          <w:p>
            <w:pPr>
              <w:pStyle w:val="TableParagraph"/>
              <w:spacing w:line="179" w:lineRule="exact"/>
              <w:ind w:left="200"/>
              <w:rPr>
                <w:sz w:val="16"/>
              </w:rPr>
            </w:pPr>
            <w:r>
              <w:rPr>
                <w:sz w:val="16"/>
              </w:rPr>
              <mc:AlternateContent>
                <mc:Choice Requires="wpg">
                  <w:drawing>
                    <wp:anchor distT="0" distB="0" distL="0" distR="0" simplePos="0" relativeHeight="251716608" behindDoc="1" locked="0" layoutInCell="1" allowOverlap="1">
                      <wp:simplePos x="0" y="0"/>
                      <wp:positionH relativeFrom="column">
                        <wp:posOffset>0</wp:posOffset>
                      </wp:positionH>
                      <wp:positionV relativeFrom="paragraph">
                        <wp:posOffset>27</wp:posOffset>
                      </wp:positionV>
                      <wp:extent cx="101600" cy="95250"/>
                      <wp:effectExtent l="0" t="0" r="0" b="0"/>
                      <wp:wrapNone/>
                      <wp:docPr id="68" name="Group 68"/>
                      <wp:cNvGraphicFramePr/>
                      <a:graphic xmlns:a="http://schemas.openxmlformats.org/drawingml/2006/main">
                        <a:graphicData uri="http://schemas.microsoft.com/office/word/2010/wordprocessingGroup">
                          <wpg:wgp xmlns:wpg="http://schemas.microsoft.com/office/word/2010/wordprocessingGroup">
                            <wpg:cNvGrpSpPr/>
                            <wpg:grpSpPr>
                              <a:xfrm>
                                <a:off x="0" y="0"/>
                                <a:ext cx="101600" cy="95250"/>
                                <a:chOff x="0" y="0"/>
                                <a:chExt cx="101600" cy="95250"/>
                              </a:xfrm>
                            </wpg:grpSpPr>
                            <wps:wsp xmlns:wps="http://schemas.microsoft.com/office/word/2010/wordprocessingShape">
                              <wps:cNvPr id="69" name="Graphic 69"/>
                              <wps:cNvSpPr/>
                              <wps:spPr>
                                <a:xfrm>
                                  <a:off x="0" y="0"/>
                                  <a:ext cx="101600" cy="95250"/>
                                </a:xfrm>
                                <a:custGeom>
                                  <a:avLst/>
                                  <a:gdLst/>
                                  <a:rect l="l" t="t" r="r" b="b"/>
                                  <a:pathLst>
                                    <a:path fill="norm" h="95250" w="101600" stroke="1">
                                      <a:moveTo>
                                        <a:pt x="101600" y="95250"/>
                                      </a:moveTo>
                                      <a:lnTo>
                                        <a:pt x="0" y="95250"/>
                                      </a:lnTo>
                                      <a:lnTo>
                                        <a:pt x="0" y="0"/>
                                      </a:lnTo>
                                      <a:lnTo>
                                        <a:pt x="101600" y="0"/>
                                      </a:lnTo>
                                      <a:lnTo>
                                        <a:pt x="101600" y="95250"/>
                                      </a:lnTo>
                                      <a:close/>
                                    </a:path>
                                  </a:pathLst>
                                </a:custGeom>
                                <a:solidFill>
                                  <a:srgbClr val="A5FF99"/>
                                </a:solidFill>
                              </wps:spPr>
                              <wps:bodyPr wrap="square" lIns="0" tIns="0" rIns="0" bIns="0" rtlCol="0">
                                <a:prstTxWarp prst="textNoShape">
                                  <a:avLst/>
                                </a:prstTxWarp>
                              </wps:bodyPr>
                            </wps:wsp>
                          </wpg:wgp>
                        </a:graphicData>
                      </a:graphic>
                    </wp:anchor>
                  </w:drawing>
                </mc:Choice>
                <mc:Fallback>
                  <w:pict>
                    <v:group id="_x0000_s1082" style="width:8pt;height:7.5pt;margin-top:0;margin-left:0;position:absolute;z-index:-251598848" coordorigin="0,0" coordsize="160,150">
                      <v:rect id="_x0000_s1083" style="width:160;height:150;position:absolute" filled="t" fillcolor="#a5ff99" stroked="f">
                        <v:fill type="solid"/>
                      </v:rect>
                    </v:group>
                  </w:pict>
                </mc:Fallback>
              </mc:AlternateContent>
            </w:r>
            <w:r>
              <w:rPr>
                <w:spacing w:val="-2"/>
                <w:sz w:val="15"/>
              </w:rPr>
              <w:t>In linea con la tassonomia:</w:t>
            </w:r>
          </w:p>
          <w:p>
            <w:pPr>
              <w:pStyle w:val="TableParagraph"/>
              <w:spacing w:before="18"/>
              <w:ind w:left="200"/>
              <w:rPr>
                <w:sz w:val="16"/>
              </w:rPr>
            </w:pPr>
            <w:r>
              <w:rPr>
                <w:sz w:val="15"/>
              </w:rPr>
              <w:t>Gas fossile</w:t>
            </w:r>
          </w:p>
        </w:tc>
        <w:tc>
          <w:tcPr>
            <w:tcW w:w="894" w:type="dxa"/>
            <w:shd w:val="clear" w:color="auto" w:fill="EFEFEF"/>
          </w:tcPr>
          <w:p>
            <w:pPr>
              <w:pStyle w:val="TableParagraph"/>
              <w:spacing w:line="179" w:lineRule="exact"/>
              <w:ind w:right="-15"/>
              <w:jc w:val="right"/>
              <w:rPr>
                <w:sz w:val="16"/>
              </w:rPr>
            </w:pPr>
            <w:r>
              <w:rPr>
                <w:spacing w:val="-2"/>
                <w:sz w:val="15"/>
              </w:rPr>
              <w:t>0,00%</w:t>
            </w:r>
          </w:p>
        </w:tc>
        <w:tc>
          <w:tcPr>
            <w:tcW w:w="900" w:type="dxa"/>
            <w:shd w:val="clear" w:color="auto" w:fill="EFEFEF"/>
          </w:tcPr>
          <w:p>
            <w:pPr>
              <w:pStyle w:val="TableParagraph"/>
              <w:rPr>
                <w:rFonts w:ascii="Times New Roman"/>
                <w:sz w:val="16"/>
              </w:rPr>
            </w:pPr>
          </w:p>
        </w:tc>
        <w:tc>
          <w:tcPr>
            <w:tcW w:w="2446" w:type="dxa"/>
            <w:shd w:val="clear" w:color="auto" w:fill="EFEFEF"/>
          </w:tcPr>
          <w:p>
            <w:pPr>
              <w:pStyle w:val="TableParagraph"/>
              <w:spacing w:line="179" w:lineRule="exact"/>
              <w:ind w:left="200"/>
              <w:rPr>
                <w:sz w:val="16"/>
              </w:rPr>
            </w:pPr>
            <w:r>
              <w:rPr>
                <w:sz w:val="16"/>
              </w:rPr>
              <mc:AlternateContent>
                <mc:Choice Requires="wpg">
                  <w:drawing>
                    <wp:anchor distT="0" distB="0" distL="0" distR="0" simplePos="0" relativeHeight="251724800" behindDoc="1" locked="0" layoutInCell="1" allowOverlap="1">
                      <wp:simplePos x="0" y="0"/>
                      <wp:positionH relativeFrom="column">
                        <wp:posOffset>0</wp:posOffset>
                      </wp:positionH>
                      <wp:positionV relativeFrom="paragraph">
                        <wp:posOffset>27</wp:posOffset>
                      </wp:positionV>
                      <wp:extent cx="95250" cy="95250"/>
                      <wp:effectExtent l="0" t="0" r="0" b="0"/>
                      <wp:wrapNone/>
                      <wp:docPr id="70" name="Group 70"/>
                      <wp:cNvGraphicFramePr/>
                      <a:graphic xmlns:a="http://schemas.openxmlformats.org/drawingml/2006/main">
                        <a:graphicData uri="http://schemas.microsoft.com/office/word/2010/wordprocessingGroup">
                          <wpg:wgp xmlns:wpg="http://schemas.microsoft.com/office/word/2010/wordprocessingGroup">
                            <wpg:cNvGrpSpPr/>
                            <wpg:grpSpPr>
                              <a:xfrm>
                                <a:off x="0" y="0"/>
                                <a:ext cx="95250" cy="95250"/>
                                <a:chOff x="0" y="0"/>
                                <a:chExt cx="95250" cy="95250"/>
                              </a:xfrm>
                            </wpg:grpSpPr>
                            <wps:wsp xmlns:wps="http://schemas.microsoft.com/office/word/2010/wordprocessingShape">
                              <wps:cNvPr id="71" name="Graphic 71"/>
                              <wps:cNvSpPr/>
                              <wps:spPr>
                                <a:xfrm>
                                  <a:off x="0" y="0"/>
                                  <a:ext cx="95250" cy="95250"/>
                                </a:xfrm>
                                <a:custGeom>
                                  <a:avLst/>
                                  <a:gdLst/>
                                  <a:rect l="l" t="t" r="r" b="b"/>
                                  <a:pathLst>
                                    <a:path fill="norm" h="95250" w="95250" stroke="1">
                                      <a:moveTo>
                                        <a:pt x="95250" y="95250"/>
                                      </a:moveTo>
                                      <a:lnTo>
                                        <a:pt x="0" y="95250"/>
                                      </a:lnTo>
                                      <a:lnTo>
                                        <a:pt x="0" y="0"/>
                                      </a:lnTo>
                                      <a:lnTo>
                                        <a:pt x="95250" y="0"/>
                                      </a:lnTo>
                                      <a:lnTo>
                                        <a:pt x="95250" y="95250"/>
                                      </a:lnTo>
                                      <a:close/>
                                    </a:path>
                                  </a:pathLst>
                                </a:custGeom>
                                <a:solidFill>
                                  <a:srgbClr val="A5FF99"/>
                                </a:solidFill>
                              </wps:spPr>
                              <wps:bodyPr wrap="square" lIns="0" tIns="0" rIns="0" bIns="0" rtlCol="0">
                                <a:prstTxWarp prst="textNoShape">
                                  <a:avLst/>
                                </a:prstTxWarp>
                              </wps:bodyPr>
                            </wps:wsp>
                          </wpg:wgp>
                        </a:graphicData>
                      </a:graphic>
                    </wp:anchor>
                  </w:drawing>
                </mc:Choice>
                <mc:Fallback>
                  <w:pict>
                    <v:group id="_x0000_s1084" style="width:7.5pt;height:7.5pt;margin-top:0;margin-left:0;position:absolute;z-index:-251590656" coordorigin="0,0" coordsize="150,150">
                      <v:rect id="_x0000_s1085" style="width:150;height:150;position:absolute" filled="t" fillcolor="#a5ff99" stroked="f">
                        <v:fill type="solid"/>
                      </v:rect>
                    </v:group>
                  </w:pict>
                </mc:Fallback>
              </mc:AlternateContent>
            </w:r>
            <w:r>
              <w:rPr>
                <w:spacing w:val="-2"/>
                <w:sz w:val="15"/>
              </w:rPr>
              <w:t>In linea con la tassonomia:</w:t>
            </w:r>
          </w:p>
          <w:p>
            <w:pPr>
              <w:pStyle w:val="TableParagraph"/>
              <w:spacing w:before="18"/>
              <w:ind w:left="200"/>
              <w:rPr>
                <w:sz w:val="16"/>
              </w:rPr>
            </w:pPr>
            <w:r>
              <w:rPr>
                <w:sz w:val="15"/>
              </w:rPr>
              <w:t>Gas fossile</w:t>
            </w:r>
          </w:p>
        </w:tc>
        <w:tc>
          <w:tcPr>
            <w:tcW w:w="894" w:type="dxa"/>
            <w:shd w:val="clear" w:color="auto" w:fill="EFEFEF"/>
          </w:tcPr>
          <w:p>
            <w:pPr>
              <w:pStyle w:val="TableParagraph"/>
              <w:spacing w:line="179" w:lineRule="exact"/>
              <w:ind w:right="-15"/>
              <w:jc w:val="right"/>
              <w:rPr>
                <w:sz w:val="16"/>
              </w:rPr>
            </w:pPr>
            <w:r>
              <w:rPr>
                <w:spacing w:val="-2"/>
                <w:sz w:val="15"/>
              </w:rPr>
              <w:t>0,00%</w:t>
            </w:r>
          </w:p>
        </w:tc>
      </w:tr>
      <w:tr>
        <w:tblPrEx>
          <w:tblW w:w="0" w:type="auto"/>
          <w:tblInd w:w="2462" w:type="dxa"/>
          <w:tblLayout w:type="fixed"/>
          <w:tblLook w:val="01E0"/>
        </w:tblPrEx>
        <w:trPr>
          <w:trHeight w:val="456"/>
        </w:trPr>
        <w:tc>
          <w:tcPr>
            <w:tcW w:w="2446" w:type="dxa"/>
            <w:shd w:val="clear" w:color="auto" w:fill="EFEFEF"/>
          </w:tcPr>
          <w:p>
            <w:pPr>
              <w:pStyle w:val="TableParagraph"/>
              <w:spacing w:before="16" w:line="200" w:lineRule="atLeast"/>
              <w:ind w:left="200" w:right="899"/>
              <w:rPr>
                <w:sz w:val="16"/>
              </w:rPr>
            </w:pPr>
            <w:r>
              <w:rPr>
                <w:sz w:val="16"/>
              </w:rPr>
              <mc:AlternateContent>
                <mc:Choice Requires="wpg">
                  <w:drawing>
                    <wp:anchor distT="0" distB="0" distL="0" distR="0" simplePos="0" relativeHeight="251718656" behindDoc="1" locked="0" layoutInCell="1" allowOverlap="1">
                      <wp:simplePos x="0" y="0"/>
                      <wp:positionH relativeFrom="column">
                        <wp:posOffset>0</wp:posOffset>
                      </wp:positionH>
                      <wp:positionV relativeFrom="paragraph">
                        <wp:posOffset>23681</wp:posOffset>
                      </wp:positionV>
                      <wp:extent cx="101600" cy="95250"/>
                      <wp:effectExtent l="0" t="0" r="0" b="0"/>
                      <wp:wrapNone/>
                      <wp:docPr id="72" name="Group 72"/>
                      <wp:cNvGraphicFramePr/>
                      <a:graphic xmlns:a="http://schemas.openxmlformats.org/drawingml/2006/main">
                        <a:graphicData uri="http://schemas.microsoft.com/office/word/2010/wordprocessingGroup">
                          <wpg:wgp xmlns:wpg="http://schemas.microsoft.com/office/word/2010/wordprocessingGroup">
                            <wpg:cNvGrpSpPr/>
                            <wpg:grpSpPr>
                              <a:xfrm>
                                <a:off x="0" y="0"/>
                                <a:ext cx="101600" cy="95250"/>
                                <a:chOff x="0" y="0"/>
                                <a:chExt cx="101600" cy="95250"/>
                              </a:xfrm>
                            </wpg:grpSpPr>
                            <wps:wsp xmlns:wps="http://schemas.microsoft.com/office/word/2010/wordprocessingShape">
                              <wps:cNvPr id="73" name="Graphic 73"/>
                              <wps:cNvSpPr/>
                              <wps:spPr>
                                <a:xfrm>
                                  <a:off x="0" y="0"/>
                                  <a:ext cx="101600" cy="95250"/>
                                </a:xfrm>
                                <a:custGeom>
                                  <a:avLst/>
                                  <a:gdLst/>
                                  <a:rect l="l" t="t" r="r" b="b"/>
                                  <a:pathLst>
                                    <a:path fill="norm" h="95250" w="101600" stroke="1">
                                      <a:moveTo>
                                        <a:pt x="101600" y="95249"/>
                                      </a:moveTo>
                                      <a:lnTo>
                                        <a:pt x="0" y="95249"/>
                                      </a:lnTo>
                                      <a:lnTo>
                                        <a:pt x="0" y="0"/>
                                      </a:lnTo>
                                      <a:lnTo>
                                        <a:pt x="101600" y="0"/>
                                      </a:lnTo>
                                      <a:lnTo>
                                        <a:pt x="101600" y="95249"/>
                                      </a:lnTo>
                                      <a:close/>
                                    </a:path>
                                  </a:pathLst>
                                </a:custGeom>
                                <a:solidFill>
                                  <a:srgbClr val="33BF33"/>
                                </a:solidFill>
                              </wps:spPr>
                              <wps:bodyPr wrap="square" lIns="0" tIns="0" rIns="0" bIns="0" rtlCol="0">
                                <a:prstTxWarp prst="textNoShape">
                                  <a:avLst/>
                                </a:prstTxWarp>
                              </wps:bodyPr>
                            </wps:wsp>
                          </wpg:wgp>
                        </a:graphicData>
                      </a:graphic>
                    </wp:anchor>
                  </w:drawing>
                </mc:Choice>
                <mc:Fallback>
                  <w:pict>
                    <v:group id="_x0000_s1086" style="width:8pt;height:7.5pt;margin-top:1.86pt;margin-left:0;position:absolute;z-index:-251596800" coordorigin="0,37" coordsize="160,150">
                      <v:rect id="_x0000_s1087" style="width:160;height:150;position:absolute;top:37" filled="t" fillcolor="#33bf33" stroked="f">
                        <v:fill type="solid"/>
                      </v:rect>
                    </v:group>
                  </w:pict>
                </mc:Fallback>
              </mc:AlternateContent>
            </w:r>
            <w:r>
              <w:rPr>
                <w:spacing w:val="-2"/>
                <w:sz w:val="15"/>
              </w:rPr>
              <w:t>Allineato alla tassonomia: Nucleare</w:t>
            </w:r>
          </w:p>
        </w:tc>
        <w:tc>
          <w:tcPr>
            <w:tcW w:w="894" w:type="dxa"/>
            <w:shd w:val="clear" w:color="auto" w:fill="EFEFEF"/>
          </w:tcPr>
          <w:p>
            <w:pPr>
              <w:pStyle w:val="TableParagraph"/>
              <w:spacing w:before="32"/>
              <w:ind w:right="-15"/>
              <w:jc w:val="right"/>
              <w:rPr>
                <w:sz w:val="16"/>
              </w:rPr>
            </w:pPr>
            <w:r>
              <w:rPr>
                <w:spacing w:val="-2"/>
                <w:sz w:val="15"/>
              </w:rPr>
              <w:t>0,00%</w:t>
            </w:r>
          </w:p>
        </w:tc>
        <w:tc>
          <w:tcPr>
            <w:tcW w:w="900" w:type="dxa"/>
            <w:shd w:val="clear" w:color="auto" w:fill="EFEFEF"/>
          </w:tcPr>
          <w:p>
            <w:pPr>
              <w:pStyle w:val="TableParagraph"/>
              <w:rPr>
                <w:rFonts w:ascii="Times New Roman"/>
                <w:sz w:val="16"/>
              </w:rPr>
            </w:pPr>
          </w:p>
        </w:tc>
        <w:tc>
          <w:tcPr>
            <w:tcW w:w="2446" w:type="dxa"/>
            <w:shd w:val="clear" w:color="auto" w:fill="EFEFEF"/>
          </w:tcPr>
          <w:p>
            <w:pPr>
              <w:pStyle w:val="TableParagraph"/>
              <w:spacing w:before="16" w:line="200" w:lineRule="atLeast"/>
              <w:ind w:left="200" w:right="899"/>
              <w:rPr>
                <w:sz w:val="16"/>
              </w:rPr>
            </w:pPr>
            <w:r>
              <w:rPr>
                <w:sz w:val="16"/>
              </w:rPr>
              <mc:AlternateContent>
                <mc:Choice Requires="wpg">
                  <w:drawing>
                    <wp:anchor distT="0" distB="0" distL="0" distR="0" simplePos="0" relativeHeight="251699200" behindDoc="0" locked="0" layoutInCell="1" allowOverlap="1">
                      <wp:simplePos x="0" y="0"/>
                      <wp:positionH relativeFrom="column">
                        <wp:posOffset>0</wp:posOffset>
                      </wp:positionH>
                      <wp:positionV relativeFrom="paragraph">
                        <wp:posOffset>23681</wp:posOffset>
                      </wp:positionV>
                      <wp:extent cx="95250" cy="95250"/>
                      <wp:effectExtent l="0" t="0" r="0" b="0"/>
                      <wp:wrapNone/>
                      <wp:docPr id="74" name="Group 74"/>
                      <wp:cNvGraphicFramePr/>
                      <a:graphic xmlns:a="http://schemas.openxmlformats.org/drawingml/2006/main">
                        <a:graphicData uri="http://schemas.microsoft.com/office/word/2010/wordprocessingGroup">
                          <wpg:wgp xmlns:wpg="http://schemas.microsoft.com/office/word/2010/wordprocessingGroup">
                            <wpg:cNvGrpSpPr/>
                            <wpg:grpSpPr>
                              <a:xfrm>
                                <a:off x="0" y="0"/>
                                <a:ext cx="95250" cy="95250"/>
                                <a:chOff x="0" y="0"/>
                                <a:chExt cx="95250" cy="95250"/>
                              </a:xfrm>
                            </wpg:grpSpPr>
                            <wps:wsp xmlns:wps="http://schemas.microsoft.com/office/word/2010/wordprocessingShape">
                              <wps:cNvPr id="75" name="Graphic 75"/>
                              <wps:cNvSpPr/>
                              <wps:spPr>
                                <a:xfrm>
                                  <a:off x="0" y="0"/>
                                  <a:ext cx="95250" cy="95250"/>
                                </a:xfrm>
                                <a:custGeom>
                                  <a:avLst/>
                                  <a:gdLst/>
                                  <a:rect l="l" t="t" r="r" b="b"/>
                                  <a:pathLst>
                                    <a:path fill="norm" h="95250" w="95250" stroke="1">
                                      <a:moveTo>
                                        <a:pt x="95250" y="95249"/>
                                      </a:moveTo>
                                      <a:lnTo>
                                        <a:pt x="0" y="95249"/>
                                      </a:lnTo>
                                      <a:lnTo>
                                        <a:pt x="0" y="0"/>
                                      </a:lnTo>
                                      <a:lnTo>
                                        <a:pt x="95250" y="0"/>
                                      </a:lnTo>
                                      <a:lnTo>
                                        <a:pt x="95250" y="95249"/>
                                      </a:lnTo>
                                      <a:close/>
                                    </a:path>
                                  </a:pathLst>
                                </a:custGeom>
                                <a:solidFill>
                                  <a:srgbClr val="33BF33"/>
                                </a:solidFill>
                              </wps:spPr>
                              <wps:bodyPr wrap="square" lIns="0" tIns="0" rIns="0" bIns="0" rtlCol="0">
                                <a:prstTxWarp prst="textNoShape">
                                  <a:avLst/>
                                </a:prstTxWarp>
                              </wps:bodyPr>
                            </wps:wsp>
                          </wpg:wgp>
                        </a:graphicData>
                      </a:graphic>
                    </wp:anchor>
                  </w:drawing>
                </mc:Choice>
                <mc:Fallback>
                  <w:pict>
                    <v:group id="_x0000_s1088" style="width:7.5pt;height:7.5pt;margin-top:1.86pt;margin-left:0;position:absolute;z-index:251700224" coordorigin="0,37" coordsize="150,150">
                      <v:rect id="_x0000_s1089" style="width:150;height:150;position:absolute;top:37" filled="t" fillcolor="#33bf33" stroked="f">
                        <v:fill type="solid"/>
                      </v:rect>
                    </v:group>
                  </w:pict>
                </mc:Fallback>
              </mc:AlternateContent>
            </w:r>
            <w:r>
              <w:rPr>
                <w:spacing w:val="-2"/>
                <w:sz w:val="15"/>
              </w:rPr>
              <w:t>In linea con la tassonomia: Nucleare</w:t>
            </w:r>
          </w:p>
        </w:tc>
        <w:tc>
          <w:tcPr>
            <w:tcW w:w="894" w:type="dxa"/>
            <w:shd w:val="clear" w:color="auto" w:fill="EFEFEF"/>
          </w:tcPr>
          <w:p>
            <w:pPr>
              <w:pStyle w:val="TableParagraph"/>
              <w:spacing w:before="32"/>
              <w:ind w:right="-15"/>
              <w:jc w:val="right"/>
              <w:rPr>
                <w:sz w:val="16"/>
              </w:rPr>
            </w:pPr>
            <w:r>
              <w:rPr>
                <w:spacing w:val="-2"/>
                <w:sz w:val="15"/>
              </w:rPr>
              <w:t>0,00%</w:t>
            </w:r>
          </w:p>
        </w:tc>
      </w:tr>
      <w:tr>
        <w:tblPrEx>
          <w:tblW w:w="0" w:type="auto"/>
          <w:tblInd w:w="2462" w:type="dxa"/>
          <w:tblLayout w:type="fixed"/>
          <w:tblLook w:val="01E0"/>
        </w:tblPrEx>
        <w:trPr>
          <w:trHeight w:val="478"/>
        </w:trPr>
        <w:tc>
          <w:tcPr>
            <w:tcW w:w="2446" w:type="dxa"/>
            <w:tcBorders>
              <w:bottom w:val="single" w:sz="4" w:space="0" w:color="808080"/>
            </w:tcBorders>
            <w:shd w:val="clear" w:color="auto" w:fill="EFEFEF"/>
          </w:tcPr>
          <w:p>
            <w:pPr>
              <w:pStyle w:val="TableParagraph"/>
              <w:spacing w:before="32" w:line="264" w:lineRule="auto"/>
              <w:ind w:left="200" w:right="65"/>
              <w:rPr>
                <w:sz w:val="16"/>
              </w:rPr>
            </w:pPr>
            <w:r>
              <w:rPr>
                <w:sz w:val="16"/>
              </w:rPr>
              <mc:AlternateContent>
                <mc:Choice Requires="wpg">
                  <w:drawing>
                    <wp:anchor distT="0" distB="0" distL="0" distR="0" simplePos="0" relativeHeight="251720704" behindDoc="1" locked="0" layoutInCell="1" allowOverlap="1">
                      <wp:simplePos x="0" y="0"/>
                      <wp:positionH relativeFrom="column">
                        <wp:posOffset>0</wp:posOffset>
                      </wp:positionH>
                      <wp:positionV relativeFrom="paragraph">
                        <wp:posOffset>23671</wp:posOffset>
                      </wp:positionV>
                      <wp:extent cx="95250" cy="95250"/>
                      <wp:effectExtent l="0" t="0" r="0" b="0"/>
                      <wp:wrapNone/>
                      <wp:docPr id="76" name="Group 76"/>
                      <wp:cNvGraphicFramePr/>
                      <a:graphic xmlns:a="http://schemas.openxmlformats.org/drawingml/2006/main">
                        <a:graphicData uri="http://schemas.microsoft.com/office/word/2010/wordprocessingGroup">
                          <wpg:wgp xmlns:wpg="http://schemas.microsoft.com/office/word/2010/wordprocessingGroup">
                            <wpg:cNvGrpSpPr/>
                            <wpg:grpSpPr>
                              <a:xfrm>
                                <a:off x="0" y="0"/>
                                <a:ext cx="95250" cy="95250"/>
                                <a:chOff x="0" y="0"/>
                                <a:chExt cx="95250" cy="95250"/>
                              </a:xfrm>
                            </wpg:grpSpPr>
                            <wps:wsp xmlns:wps="http://schemas.microsoft.com/office/word/2010/wordprocessingShape">
                              <wps:cNvPr id="77" name="Graphic 77"/>
                              <wps:cNvSpPr/>
                              <wps:spPr>
                                <a:xfrm>
                                  <a:off x="0" y="0"/>
                                  <a:ext cx="95250" cy="95250"/>
                                </a:xfrm>
                                <a:custGeom>
                                  <a:avLst/>
                                  <a:gdLst/>
                                  <a:rect l="l" t="t" r="r" b="b"/>
                                  <a:pathLst>
                                    <a:path fill="norm" h="95250" w="95250" stroke="1">
                                      <a:moveTo>
                                        <a:pt x="95250" y="95250"/>
                                      </a:moveTo>
                                      <a:lnTo>
                                        <a:pt x="0" y="95250"/>
                                      </a:lnTo>
                                      <a:lnTo>
                                        <a:pt x="0" y="0"/>
                                      </a:lnTo>
                                      <a:lnTo>
                                        <a:pt x="95250" y="0"/>
                                      </a:lnTo>
                                      <a:lnTo>
                                        <a:pt x="95250" y="95250"/>
                                      </a:lnTo>
                                      <a:close/>
                                    </a:path>
                                  </a:pathLst>
                                </a:custGeom>
                                <a:solidFill>
                                  <a:srgbClr val="007E00"/>
                                </a:solidFill>
                              </wps:spPr>
                              <wps:bodyPr wrap="square" lIns="0" tIns="0" rIns="0" bIns="0" rtlCol="0">
                                <a:prstTxWarp prst="textNoShape">
                                  <a:avLst/>
                                </a:prstTxWarp>
                              </wps:bodyPr>
                            </wps:wsp>
                          </wpg:wgp>
                        </a:graphicData>
                      </a:graphic>
                    </wp:anchor>
                  </w:drawing>
                </mc:Choice>
                <mc:Fallback>
                  <w:pict>
                    <v:group id="_x0000_s1090" style="width:7.5pt;height:7.5pt;margin-top:1.86pt;margin-left:0;position:absolute;z-index:-251594752" coordorigin="0,37" coordsize="150,150">
                      <v:rect id="_x0000_s1091" style="width:150;height:150;position:absolute;top:37" filled="t" fillcolor="#007e00" stroked="f">
                        <v:fill type="solid"/>
                      </v:rect>
                    </v:group>
                  </w:pict>
                </mc:Fallback>
              </mc:AlternateContent>
            </w:r>
            <w:r>
              <w:rPr>
                <w:spacing w:val="-2"/>
                <w:sz w:val="15"/>
              </w:rPr>
              <w:t>In linea con la tassonomia (esclusi gas fossili e nucleare)</w:t>
            </w:r>
          </w:p>
        </w:tc>
        <w:tc>
          <w:tcPr>
            <w:tcW w:w="894" w:type="dxa"/>
            <w:tcBorders>
              <w:bottom w:val="single" w:sz="4" w:space="0" w:color="808080"/>
            </w:tcBorders>
            <w:shd w:val="clear" w:color="auto" w:fill="EFEFEF"/>
          </w:tcPr>
          <w:p>
            <w:pPr>
              <w:pStyle w:val="TableParagraph"/>
              <w:spacing w:before="32"/>
              <w:ind w:right="-15"/>
              <w:jc w:val="right"/>
              <w:rPr>
                <w:sz w:val="16"/>
              </w:rPr>
            </w:pPr>
            <w:r>
              <w:rPr>
                <w:spacing w:val="-2"/>
                <w:sz w:val="15"/>
              </w:rPr>
              <w:t>0,00%</w:t>
            </w:r>
          </w:p>
        </w:tc>
        <w:tc>
          <w:tcPr>
            <w:tcW w:w="900" w:type="dxa"/>
            <w:shd w:val="clear" w:color="auto" w:fill="EFEFEF"/>
          </w:tcPr>
          <w:p>
            <w:pPr>
              <w:pStyle w:val="TableParagraph"/>
              <w:rPr>
                <w:rFonts w:ascii="Times New Roman"/>
                <w:sz w:val="16"/>
              </w:rPr>
            </w:pPr>
          </w:p>
        </w:tc>
        <w:tc>
          <w:tcPr>
            <w:tcW w:w="2446" w:type="dxa"/>
            <w:tcBorders>
              <w:bottom w:val="single" w:sz="4" w:space="0" w:color="808080"/>
            </w:tcBorders>
            <w:shd w:val="clear" w:color="auto" w:fill="EFEFEF"/>
          </w:tcPr>
          <w:p>
            <w:pPr>
              <w:pStyle w:val="TableParagraph"/>
              <w:spacing w:before="32" w:line="264" w:lineRule="auto"/>
              <w:ind w:left="200" w:right="65"/>
              <w:rPr>
                <w:sz w:val="16"/>
              </w:rPr>
            </w:pPr>
            <w:r>
              <w:rPr>
                <w:sz w:val="16"/>
              </w:rPr>
              <mc:AlternateContent>
                <mc:Choice Requires="wpg">
                  <w:drawing>
                    <wp:anchor distT="0" distB="0" distL="0" distR="0" simplePos="0" relativeHeight="251697152" behindDoc="0" locked="0" layoutInCell="1" allowOverlap="1">
                      <wp:simplePos x="0" y="0"/>
                      <wp:positionH relativeFrom="column">
                        <wp:posOffset>0</wp:posOffset>
                      </wp:positionH>
                      <wp:positionV relativeFrom="paragraph">
                        <wp:posOffset>23671</wp:posOffset>
                      </wp:positionV>
                      <wp:extent cx="95250" cy="95250"/>
                      <wp:effectExtent l="0" t="0" r="0" b="0"/>
                      <wp:wrapNone/>
                      <wp:docPr id="78" name="Group 78"/>
                      <wp:cNvGraphicFramePr/>
                      <a:graphic xmlns:a="http://schemas.openxmlformats.org/drawingml/2006/main">
                        <a:graphicData uri="http://schemas.microsoft.com/office/word/2010/wordprocessingGroup">
                          <wpg:wgp xmlns:wpg="http://schemas.microsoft.com/office/word/2010/wordprocessingGroup">
                            <wpg:cNvGrpSpPr/>
                            <wpg:grpSpPr>
                              <a:xfrm>
                                <a:off x="0" y="0"/>
                                <a:ext cx="95250" cy="95250"/>
                                <a:chOff x="0" y="0"/>
                                <a:chExt cx="95250" cy="95250"/>
                              </a:xfrm>
                            </wpg:grpSpPr>
                            <wps:wsp xmlns:wps="http://schemas.microsoft.com/office/word/2010/wordprocessingShape">
                              <wps:cNvPr id="79" name="Graphic 79"/>
                              <wps:cNvSpPr/>
                              <wps:spPr>
                                <a:xfrm>
                                  <a:off x="0" y="0"/>
                                  <a:ext cx="95250" cy="95250"/>
                                </a:xfrm>
                                <a:custGeom>
                                  <a:avLst/>
                                  <a:gdLst/>
                                  <a:rect l="l" t="t" r="r" b="b"/>
                                  <a:pathLst>
                                    <a:path fill="norm" h="95250" w="95250" stroke="1">
                                      <a:moveTo>
                                        <a:pt x="95250" y="95250"/>
                                      </a:moveTo>
                                      <a:lnTo>
                                        <a:pt x="0" y="95250"/>
                                      </a:lnTo>
                                      <a:lnTo>
                                        <a:pt x="0" y="0"/>
                                      </a:lnTo>
                                      <a:lnTo>
                                        <a:pt x="95250" y="0"/>
                                      </a:lnTo>
                                      <a:lnTo>
                                        <a:pt x="95250" y="95250"/>
                                      </a:lnTo>
                                      <a:close/>
                                    </a:path>
                                  </a:pathLst>
                                </a:custGeom>
                                <a:solidFill>
                                  <a:srgbClr val="007E00"/>
                                </a:solidFill>
                              </wps:spPr>
                              <wps:bodyPr wrap="square" lIns="0" tIns="0" rIns="0" bIns="0" rtlCol="0">
                                <a:prstTxWarp prst="textNoShape">
                                  <a:avLst/>
                                </a:prstTxWarp>
                              </wps:bodyPr>
                            </wps:wsp>
                          </wpg:wgp>
                        </a:graphicData>
                      </a:graphic>
                    </wp:anchor>
                  </w:drawing>
                </mc:Choice>
                <mc:Fallback>
                  <w:pict>
                    <v:group id="_x0000_s1092" style="width:7.5pt;height:7.5pt;margin-top:1.86pt;margin-left:0;position:absolute;z-index:251698176" coordorigin="0,37" coordsize="150,150">
                      <v:rect id="_x0000_s1093" style="width:150;height:150;position:absolute;top:37" filled="t" fillcolor="#007e00" stroked="f">
                        <v:fill type="solid"/>
                      </v:rect>
                    </v:group>
                  </w:pict>
                </mc:Fallback>
              </mc:AlternateContent>
            </w:r>
            <w:r>
              <w:rPr>
                <w:spacing w:val="-2"/>
                <w:sz w:val="15"/>
              </w:rPr>
              <w:t>In linea con la tassonomia (esclusi gas fossile e nucleare)</w:t>
            </w:r>
          </w:p>
        </w:tc>
        <w:tc>
          <w:tcPr>
            <w:tcW w:w="894" w:type="dxa"/>
            <w:tcBorders>
              <w:bottom w:val="single" w:sz="4" w:space="0" w:color="808080"/>
            </w:tcBorders>
            <w:shd w:val="clear" w:color="auto" w:fill="EFEFEF"/>
          </w:tcPr>
          <w:p>
            <w:pPr>
              <w:pStyle w:val="TableParagraph"/>
              <w:spacing w:before="32"/>
              <w:ind w:right="-15"/>
              <w:jc w:val="right"/>
              <w:rPr>
                <w:sz w:val="16"/>
              </w:rPr>
            </w:pPr>
            <w:r>
              <w:rPr>
                <w:spacing w:val="-2"/>
                <w:sz w:val="15"/>
              </w:rPr>
              <w:t>0,00%</w:t>
            </w:r>
          </w:p>
        </w:tc>
      </w:tr>
      <w:tr>
        <w:tblPrEx>
          <w:tblW w:w="0" w:type="auto"/>
          <w:tblInd w:w="2462" w:type="dxa"/>
          <w:tblLayout w:type="fixed"/>
          <w:tblLook w:val="01E0"/>
        </w:tblPrEx>
        <w:trPr>
          <w:trHeight w:val="306"/>
        </w:trPr>
        <w:tc>
          <w:tcPr>
            <w:tcW w:w="2446" w:type="dxa"/>
            <w:tcBorders>
              <w:top w:val="single" w:sz="4" w:space="0" w:color="808080"/>
            </w:tcBorders>
            <w:shd w:val="clear" w:color="auto" w:fill="EFEFEF"/>
          </w:tcPr>
          <w:p>
            <w:pPr>
              <w:pStyle w:val="TableParagraph"/>
              <w:spacing w:before="69"/>
              <w:ind w:left="200"/>
              <w:rPr>
                <w:sz w:val="16"/>
              </w:rPr>
            </w:pPr>
            <w:r>
              <w:rPr>
                <w:sz w:val="16"/>
              </w:rPr>
              <mc:AlternateContent>
                <mc:Choice Requires="wpg">
                  <w:drawing>
                    <wp:anchor distT="0" distB="0" distL="0" distR="0" simplePos="0" relativeHeight="251722752" behindDoc="1" locked="0" layoutInCell="1" allowOverlap="1">
                      <wp:simplePos x="0" y="0"/>
                      <wp:positionH relativeFrom="column">
                        <wp:posOffset>0</wp:posOffset>
                      </wp:positionH>
                      <wp:positionV relativeFrom="paragraph">
                        <wp:posOffset>53516</wp:posOffset>
                      </wp:positionV>
                      <wp:extent cx="101600" cy="88900"/>
                      <wp:effectExtent l="0" t="0" r="0" b="0"/>
                      <wp:wrapNone/>
                      <wp:docPr id="80" name="Group 80"/>
                      <wp:cNvGraphicFramePr/>
                      <a:graphic xmlns:a="http://schemas.openxmlformats.org/drawingml/2006/main">
                        <a:graphicData uri="http://schemas.microsoft.com/office/word/2010/wordprocessingGroup">
                          <wpg:wgp xmlns:wpg="http://schemas.microsoft.com/office/word/2010/wordprocessingGroup">
                            <wpg:cNvGrpSpPr/>
                            <wpg:grpSpPr>
                              <a:xfrm>
                                <a:off x="0" y="0"/>
                                <a:ext cx="101600" cy="88900"/>
                                <a:chOff x="0" y="0"/>
                                <a:chExt cx="101600" cy="88900"/>
                              </a:xfrm>
                            </wpg:grpSpPr>
                            <wps:wsp xmlns:wps="http://schemas.microsoft.com/office/word/2010/wordprocessingShape">
                              <wps:cNvPr id="81" name="Graphic 81"/>
                              <wps:cNvSpPr/>
                              <wps:spPr>
                                <a:xfrm>
                                  <a:off x="0" y="0"/>
                                  <a:ext cx="101600" cy="88900"/>
                                </a:xfrm>
                                <a:custGeom>
                                  <a:avLst/>
                                  <a:gdLst/>
                                  <a:rect l="l" t="t" r="r" b="b"/>
                                  <a:pathLst>
                                    <a:path fill="norm" h="88900" w="101600" stroke="1">
                                      <a:moveTo>
                                        <a:pt x="101600" y="88899"/>
                                      </a:moveTo>
                                      <a:lnTo>
                                        <a:pt x="0" y="88899"/>
                                      </a:lnTo>
                                      <a:lnTo>
                                        <a:pt x="0" y="0"/>
                                      </a:lnTo>
                                      <a:lnTo>
                                        <a:pt x="101600" y="0"/>
                                      </a:lnTo>
                                      <a:lnTo>
                                        <a:pt x="101600" y="88899"/>
                                      </a:lnTo>
                                      <a:close/>
                                    </a:path>
                                  </a:pathLst>
                                </a:custGeom>
                                <a:solidFill>
                                  <a:srgbClr val="007E7E"/>
                                </a:solidFill>
                              </wps:spPr>
                              <wps:bodyPr wrap="square" lIns="0" tIns="0" rIns="0" bIns="0" rtlCol="0">
                                <a:prstTxWarp prst="textNoShape">
                                  <a:avLst/>
                                </a:prstTxWarp>
                              </wps:bodyPr>
                            </wps:wsp>
                          </wpg:wgp>
                        </a:graphicData>
                      </a:graphic>
                    </wp:anchor>
                  </w:drawing>
                </mc:Choice>
                <mc:Fallback>
                  <w:pict>
                    <v:group id="_x0000_s1094" style="width:8pt;height:7pt;margin-top:4.21pt;margin-left:0;position:absolute;z-index:-251592704" coordorigin="0,84" coordsize="160,140">
                      <v:rect id="_x0000_s1095" style="width:160;height:140;position:absolute;top:84" filled="t" fillcolor="#007e7e" stroked="f">
                        <v:fill type="solid"/>
                      </v:rect>
                    </v:group>
                  </w:pict>
                </mc:Fallback>
              </mc:AlternateContent>
            </w:r>
            <w:r>
              <w:rPr>
                <w:spacing w:val="-4"/>
                <w:sz w:val="15"/>
              </w:rPr>
              <w:t>Allineato alla tassonomia</w:t>
            </w:r>
          </w:p>
        </w:tc>
        <w:tc>
          <w:tcPr>
            <w:tcW w:w="894" w:type="dxa"/>
            <w:tcBorders>
              <w:top w:val="single" w:sz="4" w:space="0" w:color="808080"/>
            </w:tcBorders>
            <w:shd w:val="clear" w:color="auto" w:fill="EFEFEF"/>
          </w:tcPr>
          <w:p>
            <w:pPr>
              <w:pStyle w:val="TableParagraph"/>
              <w:spacing w:before="69"/>
              <w:ind w:right="-15"/>
              <w:jc w:val="right"/>
              <w:rPr>
                <w:sz w:val="16"/>
              </w:rPr>
            </w:pPr>
            <w:r>
              <w:rPr>
                <w:spacing w:val="-2"/>
                <w:sz w:val="15"/>
              </w:rPr>
              <w:t>0,00%</w:t>
            </w:r>
          </w:p>
        </w:tc>
        <w:tc>
          <w:tcPr>
            <w:tcW w:w="900" w:type="dxa"/>
            <w:shd w:val="clear" w:color="auto" w:fill="EFEFEF"/>
          </w:tcPr>
          <w:p>
            <w:pPr>
              <w:pStyle w:val="TableParagraph"/>
              <w:rPr>
                <w:rFonts w:ascii="Times New Roman"/>
                <w:sz w:val="16"/>
              </w:rPr>
            </w:pPr>
          </w:p>
        </w:tc>
        <w:tc>
          <w:tcPr>
            <w:tcW w:w="2446" w:type="dxa"/>
            <w:tcBorders>
              <w:top w:val="single" w:sz="4" w:space="0" w:color="808080"/>
            </w:tcBorders>
            <w:shd w:val="clear" w:color="auto" w:fill="EFEFEF"/>
          </w:tcPr>
          <w:p>
            <w:pPr>
              <w:pStyle w:val="TableParagraph"/>
              <w:spacing w:before="69"/>
              <w:ind w:left="200"/>
              <w:rPr>
                <w:sz w:val="16"/>
              </w:rPr>
            </w:pPr>
            <w:r>
              <w:rPr>
                <w:sz w:val="16"/>
              </w:rPr>
              <mc:AlternateContent>
                <mc:Choice Requires="wpg">
                  <w:drawing>
                    <wp:anchor distT="0" distB="0" distL="0" distR="0" simplePos="0" relativeHeight="251695104" behindDoc="0" locked="0" layoutInCell="1" allowOverlap="1">
                      <wp:simplePos x="0" y="0"/>
                      <wp:positionH relativeFrom="column">
                        <wp:posOffset>0</wp:posOffset>
                      </wp:positionH>
                      <wp:positionV relativeFrom="paragraph">
                        <wp:posOffset>47166</wp:posOffset>
                      </wp:positionV>
                      <wp:extent cx="101600" cy="88900"/>
                      <wp:effectExtent l="0" t="0" r="0" b="0"/>
                      <wp:wrapNone/>
                      <wp:docPr id="82" name="Group 82"/>
                      <wp:cNvGraphicFramePr/>
                      <a:graphic xmlns:a="http://schemas.openxmlformats.org/drawingml/2006/main">
                        <a:graphicData uri="http://schemas.microsoft.com/office/word/2010/wordprocessingGroup">
                          <wpg:wgp xmlns:wpg="http://schemas.microsoft.com/office/word/2010/wordprocessingGroup">
                            <wpg:cNvGrpSpPr/>
                            <wpg:grpSpPr>
                              <a:xfrm>
                                <a:off x="0" y="0"/>
                                <a:ext cx="101600" cy="88900"/>
                                <a:chOff x="0" y="0"/>
                                <a:chExt cx="101600" cy="88900"/>
                              </a:xfrm>
                            </wpg:grpSpPr>
                            <wps:wsp xmlns:wps="http://schemas.microsoft.com/office/word/2010/wordprocessingShape">
                              <wps:cNvPr id="83" name="Graphic 83"/>
                              <wps:cNvSpPr/>
                              <wps:spPr>
                                <a:xfrm>
                                  <a:off x="0" y="0"/>
                                  <a:ext cx="101600" cy="88900"/>
                                </a:xfrm>
                                <a:custGeom>
                                  <a:avLst/>
                                  <a:gdLst/>
                                  <a:rect l="l" t="t" r="r" b="b"/>
                                  <a:pathLst>
                                    <a:path fill="norm" h="88900" w="101600" stroke="1">
                                      <a:moveTo>
                                        <a:pt x="101600" y="88899"/>
                                      </a:moveTo>
                                      <a:lnTo>
                                        <a:pt x="0" y="88899"/>
                                      </a:lnTo>
                                      <a:lnTo>
                                        <a:pt x="0" y="0"/>
                                      </a:lnTo>
                                      <a:lnTo>
                                        <a:pt x="101600" y="0"/>
                                      </a:lnTo>
                                      <a:lnTo>
                                        <a:pt x="101600" y="88899"/>
                                      </a:lnTo>
                                      <a:close/>
                                    </a:path>
                                  </a:pathLst>
                                </a:custGeom>
                                <a:solidFill>
                                  <a:srgbClr val="007E7E"/>
                                </a:solidFill>
                              </wps:spPr>
                              <wps:bodyPr wrap="square" lIns="0" tIns="0" rIns="0" bIns="0" rtlCol="0">
                                <a:prstTxWarp prst="textNoShape">
                                  <a:avLst/>
                                </a:prstTxWarp>
                              </wps:bodyPr>
                            </wps:wsp>
                          </wpg:wgp>
                        </a:graphicData>
                      </a:graphic>
                    </wp:anchor>
                  </w:drawing>
                </mc:Choice>
                <mc:Fallback>
                  <w:pict>
                    <v:group id="_x0000_s1096" style="width:8pt;height:7pt;margin-top:3.71pt;margin-left:0;position:absolute;z-index:251696128" coordorigin="0,74" coordsize="160,140">
                      <v:rect id="_x0000_s1097" style="width:160;height:140;position:absolute;top:74" filled="t" fillcolor="#007e7e" stroked="f">
                        <v:fill type="solid"/>
                      </v:rect>
                    </v:group>
                  </w:pict>
                </mc:Fallback>
              </mc:AlternateContent>
            </w:r>
            <w:r>
              <w:rPr>
                <w:spacing w:val="-4"/>
                <w:sz w:val="15"/>
              </w:rPr>
              <w:t>Allineato alla tassonomia</w:t>
            </w:r>
          </w:p>
        </w:tc>
        <w:tc>
          <w:tcPr>
            <w:tcW w:w="894" w:type="dxa"/>
            <w:tcBorders>
              <w:top w:val="single" w:sz="4" w:space="0" w:color="808080"/>
            </w:tcBorders>
            <w:shd w:val="clear" w:color="auto" w:fill="EFEFEF"/>
          </w:tcPr>
          <w:p>
            <w:pPr>
              <w:pStyle w:val="TableParagraph"/>
              <w:spacing w:before="69"/>
              <w:ind w:right="-15"/>
              <w:jc w:val="right"/>
              <w:rPr>
                <w:sz w:val="16"/>
              </w:rPr>
            </w:pPr>
            <w:r>
              <w:rPr>
                <w:spacing w:val="-2"/>
                <w:sz w:val="15"/>
              </w:rPr>
              <w:t>0,00%</w:t>
            </w:r>
          </w:p>
        </w:tc>
      </w:tr>
      <w:tr>
        <w:tblPrEx>
          <w:tblW w:w="0" w:type="auto"/>
          <w:tblInd w:w="2462" w:type="dxa"/>
          <w:tblLayout w:type="fixed"/>
          <w:tblLook w:val="01E0"/>
        </w:tblPrEx>
        <w:trPr>
          <w:trHeight w:val="231"/>
        </w:trPr>
        <w:tc>
          <w:tcPr>
            <w:tcW w:w="2446" w:type="dxa"/>
            <w:shd w:val="clear" w:color="auto" w:fill="EFEFEF"/>
          </w:tcPr>
          <w:p>
            <w:pPr>
              <w:pStyle w:val="TableParagraph"/>
              <w:spacing w:before="47" w:line="164" w:lineRule="exact"/>
              <w:ind w:left="200"/>
              <w:rPr>
                <w:sz w:val="16"/>
              </w:rPr>
            </w:pPr>
            <w:r>
              <w:rPr>
                <w:sz w:val="16"/>
              </w:rPr>
              <mc:AlternateContent>
                <mc:Choice Requires="wpg">
                  <w:drawing>
                    <wp:anchor distT="0" distB="0" distL="0" distR="0" simplePos="0" relativeHeight="251726848" behindDoc="1" locked="0" layoutInCell="1" allowOverlap="1">
                      <wp:simplePos x="0" y="0"/>
                      <wp:positionH relativeFrom="column">
                        <wp:posOffset>0</wp:posOffset>
                      </wp:positionH>
                      <wp:positionV relativeFrom="paragraph">
                        <wp:posOffset>33196</wp:posOffset>
                      </wp:positionV>
                      <wp:extent cx="101600" cy="95250"/>
                      <wp:effectExtent l="0" t="0" r="0" b="0"/>
                      <wp:wrapNone/>
                      <wp:docPr id="84" name="Group 84"/>
                      <wp:cNvGraphicFramePr/>
                      <a:graphic xmlns:a="http://schemas.openxmlformats.org/drawingml/2006/main">
                        <a:graphicData uri="http://schemas.microsoft.com/office/word/2010/wordprocessingGroup">
                          <wpg:wgp xmlns:wpg="http://schemas.microsoft.com/office/word/2010/wordprocessingGroup">
                            <wpg:cNvGrpSpPr/>
                            <wpg:grpSpPr>
                              <a:xfrm>
                                <a:off x="0" y="0"/>
                                <a:ext cx="101600" cy="95250"/>
                                <a:chOff x="0" y="0"/>
                                <a:chExt cx="101600" cy="95250"/>
                              </a:xfrm>
                            </wpg:grpSpPr>
                            <wps:wsp xmlns:wps="http://schemas.microsoft.com/office/word/2010/wordprocessingShape">
                              <wps:cNvPr id="85" name="Graphic 85"/>
                              <wps:cNvSpPr/>
                              <wps:spPr>
                                <a:xfrm>
                                  <a:off x="0" y="0"/>
                                  <a:ext cx="101600" cy="95250"/>
                                </a:xfrm>
                                <a:custGeom>
                                  <a:avLst/>
                                  <a:gdLst/>
                                  <a:rect l="l" t="t" r="r" b="b"/>
                                  <a:pathLst>
                                    <a:path fill="norm" h="95250" w="101600" stroke="1">
                                      <a:moveTo>
                                        <a:pt x="101600" y="95250"/>
                                      </a:moveTo>
                                      <a:lnTo>
                                        <a:pt x="0" y="95250"/>
                                      </a:lnTo>
                                      <a:lnTo>
                                        <a:pt x="0" y="0"/>
                                      </a:lnTo>
                                      <a:lnTo>
                                        <a:pt x="101600" y="0"/>
                                      </a:lnTo>
                                      <a:lnTo>
                                        <a:pt x="101600" y="95250"/>
                                      </a:lnTo>
                                      <a:close/>
                                    </a:path>
                                  </a:pathLst>
                                </a:custGeom>
                                <a:solidFill>
                                  <a:srgbClr val="BFBFBF"/>
                                </a:solidFill>
                              </wps:spPr>
                              <wps:bodyPr wrap="square" lIns="0" tIns="0" rIns="0" bIns="0" rtlCol="0">
                                <a:prstTxWarp prst="textNoShape">
                                  <a:avLst/>
                                </a:prstTxWarp>
                              </wps:bodyPr>
                            </wps:wsp>
                          </wpg:wgp>
                        </a:graphicData>
                      </a:graphic>
                    </wp:anchor>
                  </w:drawing>
                </mc:Choice>
                <mc:Fallback>
                  <w:pict>
                    <v:group id="_x0000_s1098" style="width:8pt;height:7.5pt;margin-top:2.61pt;margin-left:0;position:absolute;z-index:-251588608" coordorigin="0,52" coordsize="160,150">
                      <v:rect id="_x0000_s1099" style="width:160;height:150;position:absolute;top:52" filled="t" fillcolor="#bfbfbf" stroked="f">
                        <v:fill type="solid"/>
                      </v:rect>
                    </v:group>
                  </w:pict>
                </mc:Fallback>
              </mc:AlternateContent>
            </w:r>
            <w:r>
              <w:rPr>
                <w:spacing w:val="-4"/>
                <w:sz w:val="15"/>
              </w:rPr>
              <w:t>Non allineato alla tassonomia</w:t>
            </w:r>
          </w:p>
        </w:tc>
        <w:tc>
          <w:tcPr>
            <w:tcW w:w="894" w:type="dxa"/>
            <w:shd w:val="clear" w:color="auto" w:fill="EFEFEF"/>
          </w:tcPr>
          <w:p>
            <w:pPr>
              <w:pStyle w:val="TableParagraph"/>
              <w:spacing w:before="47" w:line="164" w:lineRule="exact"/>
              <w:ind w:right="-15"/>
              <w:jc w:val="right"/>
              <w:rPr>
                <w:sz w:val="16"/>
              </w:rPr>
            </w:pPr>
            <w:r>
              <w:rPr>
                <w:spacing w:val="-2"/>
                <w:sz w:val="15"/>
              </w:rPr>
              <w:t>100,00%</w:t>
            </w:r>
          </w:p>
        </w:tc>
        <w:tc>
          <w:tcPr>
            <w:tcW w:w="900" w:type="dxa"/>
            <w:shd w:val="clear" w:color="auto" w:fill="EFEFEF"/>
          </w:tcPr>
          <w:p>
            <w:pPr>
              <w:pStyle w:val="TableParagraph"/>
              <w:rPr>
                <w:rFonts w:ascii="Times New Roman"/>
                <w:sz w:val="16"/>
              </w:rPr>
            </w:pPr>
          </w:p>
        </w:tc>
        <w:tc>
          <w:tcPr>
            <w:tcW w:w="2446" w:type="dxa"/>
            <w:shd w:val="clear" w:color="auto" w:fill="EFEFEF"/>
          </w:tcPr>
          <w:p>
            <w:pPr>
              <w:pStyle w:val="TableParagraph"/>
              <w:spacing w:before="47" w:line="164" w:lineRule="exact"/>
              <w:ind w:left="200"/>
              <w:rPr>
                <w:sz w:val="16"/>
              </w:rPr>
            </w:pPr>
            <w:r>
              <w:rPr>
                <w:sz w:val="16"/>
              </w:rPr>
              <mc:AlternateContent>
                <mc:Choice Requires="wpg">
                  <w:drawing>
                    <wp:anchor distT="0" distB="0" distL="0" distR="0" simplePos="0" relativeHeight="251701248" behindDoc="0" locked="0" layoutInCell="1" allowOverlap="1">
                      <wp:simplePos x="0" y="0"/>
                      <wp:positionH relativeFrom="column">
                        <wp:posOffset>0</wp:posOffset>
                      </wp:positionH>
                      <wp:positionV relativeFrom="paragraph">
                        <wp:posOffset>33196</wp:posOffset>
                      </wp:positionV>
                      <wp:extent cx="95250" cy="88900"/>
                      <wp:effectExtent l="0" t="0" r="0" b="0"/>
                      <wp:wrapNone/>
                      <wp:docPr id="86" name="Group 86"/>
                      <wp:cNvGraphicFramePr/>
                      <a:graphic xmlns:a="http://schemas.openxmlformats.org/drawingml/2006/main">
                        <a:graphicData uri="http://schemas.microsoft.com/office/word/2010/wordprocessingGroup">
                          <wpg:wgp xmlns:wpg="http://schemas.microsoft.com/office/word/2010/wordprocessingGroup">
                            <wpg:cNvGrpSpPr/>
                            <wpg:grpSpPr>
                              <a:xfrm>
                                <a:off x="0" y="0"/>
                                <a:ext cx="95250" cy="88900"/>
                                <a:chOff x="0" y="0"/>
                                <a:chExt cx="95250" cy="88900"/>
                              </a:xfrm>
                            </wpg:grpSpPr>
                            <wps:wsp xmlns:wps="http://schemas.microsoft.com/office/word/2010/wordprocessingShape">
                              <wps:cNvPr id="87" name="Graphic 87"/>
                              <wps:cNvSpPr/>
                              <wps:spPr>
                                <a:xfrm>
                                  <a:off x="0" y="0"/>
                                  <a:ext cx="95250" cy="88900"/>
                                </a:xfrm>
                                <a:custGeom>
                                  <a:avLst/>
                                  <a:gdLst/>
                                  <a:rect l="l" t="t" r="r" b="b"/>
                                  <a:pathLst>
                                    <a:path fill="norm" h="88900" w="95250" stroke="1">
                                      <a:moveTo>
                                        <a:pt x="95250" y="88900"/>
                                      </a:moveTo>
                                      <a:lnTo>
                                        <a:pt x="0" y="88900"/>
                                      </a:lnTo>
                                      <a:lnTo>
                                        <a:pt x="0" y="0"/>
                                      </a:lnTo>
                                      <a:lnTo>
                                        <a:pt x="95250" y="0"/>
                                      </a:lnTo>
                                      <a:lnTo>
                                        <a:pt x="95250" y="88900"/>
                                      </a:lnTo>
                                      <a:close/>
                                    </a:path>
                                  </a:pathLst>
                                </a:custGeom>
                                <a:solidFill>
                                  <a:srgbClr val="BFBFBF"/>
                                </a:solidFill>
                              </wps:spPr>
                              <wps:bodyPr wrap="square" lIns="0" tIns="0" rIns="0" bIns="0" rtlCol="0">
                                <a:prstTxWarp prst="textNoShape">
                                  <a:avLst/>
                                </a:prstTxWarp>
                              </wps:bodyPr>
                            </wps:wsp>
                          </wpg:wgp>
                        </a:graphicData>
                      </a:graphic>
                    </wp:anchor>
                  </w:drawing>
                </mc:Choice>
                <mc:Fallback>
                  <w:pict>
                    <v:group id="_x0000_s1100" style="width:7.5pt;height:7pt;margin-top:2.61pt;margin-left:0;position:absolute;z-index:251702272" coordorigin="0,52" coordsize="150,140">
                      <v:rect id="_x0000_s1101" style="width:150;height:140;position:absolute;top:52" filled="t" fillcolor="#bfbfbf" stroked="f">
                        <v:fill type="solid"/>
                      </v:rect>
                    </v:group>
                  </w:pict>
                </mc:Fallback>
              </mc:AlternateContent>
            </w:r>
            <w:r>
              <w:rPr>
                <w:spacing w:val="-4"/>
                <w:sz w:val="15"/>
              </w:rPr>
              <w:t>Non allineato alla tassonomia</w:t>
            </w:r>
          </w:p>
        </w:tc>
        <w:tc>
          <w:tcPr>
            <w:tcW w:w="894" w:type="dxa"/>
            <w:shd w:val="clear" w:color="auto" w:fill="EFEFEF"/>
          </w:tcPr>
          <w:p>
            <w:pPr>
              <w:pStyle w:val="TableParagraph"/>
              <w:spacing w:before="47" w:line="164" w:lineRule="exact"/>
              <w:ind w:right="-15"/>
              <w:jc w:val="right"/>
              <w:rPr>
                <w:sz w:val="16"/>
              </w:rPr>
            </w:pPr>
            <w:r>
              <w:rPr>
                <w:spacing w:val="-2"/>
                <w:sz w:val="15"/>
              </w:rPr>
              <w:t>100,00%</w:t>
            </w:r>
          </w:p>
        </w:tc>
      </w:tr>
    </w:tbl>
    <w:p>
      <w:pPr>
        <w:pStyle w:val="TableParagraph"/>
        <w:spacing w:after="0" w:line="164" w:lineRule="exact"/>
        <w:jc w:val="right"/>
        <w:rPr>
          <w:sz w:val="16"/>
        </w:rPr>
        <w:sectPr>
          <w:pgSz w:w="11910" w:h="16840"/>
          <w:pgMar w:top="720" w:right="566" w:bottom="280" w:left="425" w:header="708" w:footer="708"/>
          <w:cols w:space="708"/>
        </w:sectPr>
      </w:pPr>
    </w:p>
    <w:p>
      <w:pPr>
        <w:spacing w:line="240" w:lineRule="auto"/>
        <w:ind w:left="2135" w:right="-44" w:firstLine="0"/>
        <w:rPr>
          <w:sz w:val="20"/>
        </w:rPr>
      </w:pPr>
      <w:r>
        <w:rPr>
          <w:sz w:val="20"/>
        </w:rPr>
        <mc:AlternateContent>
          <mc:Choice Requires="wps">
            <w:drawing>
              <wp:inline distT="0" distB="0" distL="0" distR="0">
                <wp:extent cx="5570220" cy="234950"/>
                <wp:effectExtent l="0" t="0" r="0" b="0"/>
                <wp:docPr id="88" name="Textbox 88"/>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Qual è la quota minima di investimenti in attività di transizione e di supporto?</w:t>
                            </w:r>
                          </w:p>
                        </w:txbxContent>
                      </wps:txbx>
                      <wps:bodyPr wrap="square" lIns="0" tIns="0" rIns="0" bIns="0" rtlCol="0"/>
                    </wps:wsp>
                  </a:graphicData>
                </a:graphic>
              </wp:inline>
            </w:drawing>
          </mc:Choice>
          <mc:Fallback>
            <w:pict>
              <v:shape id="_x0000_i1102" type="#_x0000_t202" style="width:438.6pt;height:18.5pt;mso-position-horizontal-relative:char;mso-position-vertical-relative:line" filled="t" fillcolor="#efefef" stroked="f">
                <v:fill type="solid"/>
                <v:textbox inset="0,0,0,0">
                  <w:txbxContent>
                    <w:p>
                      <w:pPr>
                        <w:pStyle w:val="BodyText"/>
                        <w:spacing w:line="201" w:lineRule="exact"/>
                      </w:pPr>
                      <w:r>
                        <w:t>Qual è la quota minima di investimenti in attività di transizione e di supporto?</w:t>
                      </w:r>
                    </w:p>
                  </w:txbxContent>
                </v:textbox>
                <w10:anchorlock/>
              </v:shape>
            </w:pict>
          </mc:Fallback>
        </mc:AlternateContent>
      </w:r>
    </w:p>
    <w:p>
      <w:pPr>
        <w:pStyle w:val="BodyText"/>
        <w:spacing w:before="1"/>
      </w:pPr>
    </w:p>
    <w:p>
      <w:pPr>
        <w:pStyle w:val="BodyText"/>
        <w:spacing w:line="264" w:lineRule="auto"/>
        <w:ind w:left="2135" w:right="629"/>
      </w:pPr>
      <w:r>
        <w:rPr>
          <w:sz w:val="16"/>
        </w:rPr>
        <w:t>Il prodotto finanziario non prevede una quota minima di investimenti in attività di transizione e di supporto, in quanto non si impegna a garantire una percentuale minima di investimenti sostenibili dal punto di vista ambientale allineati alla tassonomia dell’UE.</w: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0"/>
        <w:rPr>
          <w:sz w:val="20"/>
        </w:rPr>
      </w:pPr>
      <w:r>
        <w:rPr>
          <w:sz w:val="20"/>
        </w:rPr>
        <w:drawing>
          <wp:anchor distT="0" distB="0" distL="0" distR="0" simplePos="0" relativeHeight="251757568" behindDoc="1" locked="0" layoutInCell="1" allowOverlap="1">
            <wp:simplePos x="0" y="0"/>
            <wp:positionH relativeFrom="page">
              <wp:posOffset>1651000</wp:posOffset>
            </wp:positionH>
            <wp:positionV relativeFrom="paragraph">
              <wp:posOffset>186724</wp:posOffset>
            </wp:positionV>
            <wp:extent cx="191833" cy="191833"/>
            <wp:effectExtent l="0" t="0" r="0" b="0"/>
            <wp:wrapTopAndBottom/>
            <wp:docPr id="89" name="Image 89"/>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xmlns:r="http://schemas.openxmlformats.org/officeDocument/2006/relationships" r:embed="rId18" cstate="print"/>
                    <a:stretch>
                      <a:fillRect/>
                    </a:stretch>
                  </pic:blipFill>
                  <pic:spPr>
                    <a:xfrm>
                      <a:off x="0" y="0"/>
                      <a:ext cx="191833" cy="191833"/>
                    </a:xfrm>
                    <a:prstGeom prst="rect">
                      <a:avLst/>
                    </a:prstGeom>
                  </pic:spPr>
                </pic:pic>
              </a:graphicData>
            </a:graphic>
          </wp:anchor>
        </w:drawing>
      </w:r>
      <w:r>
        <w:rPr>
          <w:sz w:val="20"/>
        </w:rPr>
        <mc:AlternateContent>
          <mc:Choice Requires="wps">
            <w:drawing>
              <wp:anchor distT="0" distB="0" distL="0" distR="0" simplePos="0" relativeHeight="251758592" behindDoc="1" locked="0" layoutInCell="1" allowOverlap="1">
                <wp:simplePos x="0" y="0"/>
                <wp:positionH relativeFrom="page">
                  <wp:posOffset>1943100</wp:posOffset>
                </wp:positionH>
                <wp:positionV relativeFrom="paragraph">
                  <wp:posOffset>199424</wp:posOffset>
                </wp:positionV>
                <wp:extent cx="5252720" cy="307340"/>
                <wp:effectExtent l="0" t="0" r="0" b="0"/>
                <wp:wrapTopAndBottom/>
                <wp:docPr id="90" name="Textbox 90"/>
                <wp:cNvGraphicFramePr/>
                <a:graphic xmlns:a="http://schemas.openxmlformats.org/drawingml/2006/main">
                  <a:graphicData uri="http://schemas.microsoft.com/office/word/2010/wordprocessingShape">
                    <wps:wsp xmlns:wps="http://schemas.microsoft.com/office/word/2010/wordprocessingShape">
                      <wps:cNvSpPr txBox="1"/>
                      <wps:spPr>
                        <a:xfrm>
                          <a:off x="0" y="0"/>
                          <a:ext cx="5252720" cy="307340"/>
                        </a:xfrm>
                        <a:prstGeom prst="rect">
                          <a:avLst/>
                        </a:prstGeom>
                        <a:solidFill>
                          <a:srgbClr val="EFEFEF"/>
                        </a:solidFill>
                      </wps:spPr>
                      <wps:txbx>
                        <w:txbxContent>
                          <w:p>
                            <w:pPr>
                              <w:pStyle w:val="BodyText"/>
                              <w:spacing w:line="264" w:lineRule="auto"/>
                              <w:ind w:right="604"/>
                            </w:pPr>
                            <w:r>
                              <w:rPr>
                                <w:sz w:val="16"/>
                              </w:rPr>
                              <w:t>Qual è la quota minima di investimenti sostenibili con un obiettivo ambientale che non sono allineati alla tassonomia dell’UE?</w:t>
                            </w:r>
                          </w:p>
                        </w:txbxContent>
                      </wps:txbx>
                      <wps:bodyPr wrap="square" lIns="0" tIns="0" rIns="0" bIns="0" rtlCol="0"/>
                    </wps:wsp>
                  </a:graphicData>
                </a:graphic>
              </wp:anchor>
            </w:drawing>
          </mc:Choice>
          <mc:Fallback>
            <w:pict>
              <v:shape id="_x0000_s1103" type="#_x0000_t202" style="width:413.6pt;height:24.2pt;margin-top:15.7pt;margin-left:153pt;mso-position-horizontal-relative:page;mso-wrap-distance-left:0;mso-wrap-distance-right:0;position:absolute;z-index:-251556864" filled="t" fillcolor="#efefef" stroked="f">
                <v:fill type="solid"/>
                <v:textbox inset="0,0,0,0">
                  <w:txbxContent>
                    <w:p>
                      <w:pPr>
                        <w:pStyle w:val="BodyText"/>
                        <w:spacing w:line="264" w:lineRule="auto"/>
                        <w:ind w:right="604"/>
                      </w:pPr>
                      <w:r>
                        <w:t>Qual è la quota minima di investimenti sostenibili con un obiettivo ambientale che non sono allineati alla tassonomia dell’UE?</w:t>
                      </w:r>
                    </w:p>
                  </w:txbxContent>
                </v:textbox>
                <w10:wrap type="topAndBottom"/>
              </v:shape>
            </w:pict>
          </mc:Fallback>
        </mc:AlternateContent>
      </w:r>
    </w:p>
    <w:p>
      <w:pPr>
        <w:pStyle w:val="BodyText"/>
        <w:spacing w:before="94"/>
      </w:pPr>
    </w:p>
    <w:p>
      <w:pPr>
        <w:pStyle w:val="BodyText"/>
        <w:spacing w:line="264" w:lineRule="auto"/>
        <w:ind w:left="2135" w:right="629"/>
      </w:pPr>
      <w:r>
        <mc:AlternateContent>
          <mc:Choice Requires="wpg">
            <w:drawing>
              <wp:anchor distT="0" distB="0" distL="0" distR="0" simplePos="0" relativeHeight="251703296" behindDoc="0" locked="0" layoutInCell="1" allowOverlap="1">
                <wp:simplePos x="0" y="0"/>
                <wp:positionH relativeFrom="page">
                  <wp:posOffset>355600</wp:posOffset>
                </wp:positionH>
                <wp:positionV relativeFrom="paragraph">
                  <wp:posOffset>-523863</wp:posOffset>
                </wp:positionV>
                <wp:extent cx="1168400" cy="1463040"/>
                <wp:effectExtent l="0" t="0" r="0" b="0"/>
                <wp:wrapNone/>
                <wp:docPr id="91" name="Group 91"/>
                <wp:cNvGraphicFramePr/>
                <a:graphic xmlns:a="http://schemas.openxmlformats.org/drawingml/2006/main">
                  <a:graphicData uri="http://schemas.microsoft.com/office/word/2010/wordprocessingGroup">
                    <wpg:wgp xmlns:wpg="http://schemas.microsoft.com/office/word/2010/wordprocessingGroup">
                      <wpg:cNvGrpSpPr/>
                      <wpg:grpSpPr>
                        <a:xfrm>
                          <a:off x="0" y="0"/>
                          <a:ext cx="1168400" cy="1463040"/>
                          <a:chOff x="0" y="0"/>
                          <a:chExt cx="1168400" cy="1463040"/>
                        </a:xfrm>
                      </wpg:grpSpPr>
                      <wps:wsp xmlns:wps="http://schemas.microsoft.com/office/word/2010/wordprocessingShape">
                        <wps:cNvPr id="92" name="Graphic 92"/>
                        <wps:cNvSpPr/>
                        <wps:spPr>
                          <a:xfrm>
                            <a:off x="0" y="0"/>
                            <a:ext cx="1168400" cy="1463040"/>
                          </a:xfrm>
                          <a:custGeom>
                            <a:avLst/>
                            <a:gdLst/>
                            <a:rect l="l" t="t" r="r" b="b"/>
                            <a:pathLst>
                              <a:path fill="norm" h="1463040" w="1168400" stroke="1">
                                <a:moveTo>
                                  <a:pt x="1168400" y="1463040"/>
                                </a:moveTo>
                                <a:lnTo>
                                  <a:pt x="0" y="1463040"/>
                                </a:lnTo>
                                <a:lnTo>
                                  <a:pt x="0" y="0"/>
                                </a:lnTo>
                                <a:lnTo>
                                  <a:pt x="1168400" y="0"/>
                                </a:lnTo>
                                <a:lnTo>
                                  <a:pt x="1168400" y="1463040"/>
                                </a:lnTo>
                                <a:close/>
                              </a:path>
                            </a:pathLst>
                          </a:custGeom>
                          <a:solidFill>
                            <a:srgbClr val="EFEFEF"/>
                          </a:solidFill>
                        </wps:spPr>
                        <wps:bodyPr wrap="square" lIns="0" tIns="0" rIns="0" bIns="0" rtlCol="0">
                          <a:prstTxWarp prst="textNoShape">
                            <a:avLst/>
                          </a:prstTxWarp>
                        </wps:bodyPr>
                      </wps:wsp>
                      <pic:pic xmlns:pic="http://schemas.openxmlformats.org/drawingml/2006/picture">
                        <pic:nvPicPr>
                          <pic:cNvPr id="93" name="Image 93"/>
                          <pic:cNvPicPr/>
                        </pic:nvPicPr>
                        <pic:blipFill>
                          <a:blip xmlns:r="http://schemas.openxmlformats.org/officeDocument/2006/relationships" r:embed="rId19" cstate="print"/>
                          <a:stretch>
                            <a:fillRect/>
                          </a:stretch>
                        </pic:blipFill>
                        <pic:spPr>
                          <a:xfrm>
                            <a:off x="0" y="12700"/>
                            <a:ext cx="190500" cy="190500"/>
                          </a:xfrm>
                          <a:prstGeom prst="rect">
                            <a:avLst/>
                          </a:prstGeom>
                        </pic:spPr>
                      </pic:pic>
                      <wps:wsp xmlns:wps="http://schemas.microsoft.com/office/word/2010/wordprocessingShape">
                        <wps:cNvPr id="94" name="Textbox 94"/>
                        <wps:cNvSpPr txBox="1"/>
                        <wps:spPr>
                          <a:xfrm>
                            <a:off x="0" y="0"/>
                            <a:ext cx="1168400" cy="1463040"/>
                          </a:xfrm>
                          <a:prstGeom prst="rect">
                            <a:avLst/>
                          </a:prstGeom>
                        </wps:spPr>
                        <wps:txbx>
                          <w:txbxContent>
                            <w:p>
                              <w:pPr>
                                <w:spacing w:before="0" w:line="240" w:lineRule="auto"/>
                                <w:rPr>
                                  <w:sz w:val="16"/>
                                </w:rPr>
                              </w:pPr>
                            </w:p>
                            <w:p>
                              <w:pPr>
                                <w:spacing w:before="30" w:line="240" w:lineRule="auto"/>
                                <w:rPr>
                                  <w:sz w:val="16"/>
                                </w:rPr>
                              </w:pPr>
                            </w:p>
                            <w:p>
                              <w:pPr>
                                <w:spacing w:before="0" w:line="264" w:lineRule="auto"/>
                                <w:ind w:left="0" w:right="116" w:firstLine="0"/>
                                <w:jc w:val="left"/>
                                <w:rPr>
                                  <w:sz w:val="16"/>
                                </w:rPr>
                              </w:pPr>
                              <w:r>
                                <w:rPr>
                                  <w:sz w:val="15"/>
                                </w:rPr>
                                <w:t xml:space="preserve">Si tratta di investimenti sostenibili con un obiettivo ambientale che </w:t>
                              </w:r>
                              <w:r>
                                <w:rPr>
                                  <w:b/>
                                  <w:sz w:val="15"/>
                                </w:rPr>
                                <w:t xml:space="preserve">non tengono conto dei criteri </w:t>
                              </w:r>
                              <w:r>
                                <w:rPr>
                                  <w:sz w:val="15"/>
                                </w:rPr>
                                <w:t>relativi alle attività economiche sostenibili dal punto di vista ambientale previsti dalla Tassonomia dell’UE.</w:t>
                              </w:r>
                            </w:p>
                          </w:txbxContent>
                        </wps:txbx>
                        <wps:bodyPr wrap="square" lIns="0" tIns="0" rIns="0" bIns="0" rtlCol="0"/>
                      </wps:wsp>
                    </wpg:wgp>
                  </a:graphicData>
                </a:graphic>
              </wp:anchor>
            </w:drawing>
          </mc:Choice>
          <mc:Fallback>
            <w:pict>
              <v:group id="_x0000_s1104" style="width:92pt;height:115.2pt;margin-top:-41.25pt;margin-left:28pt;mso-position-horizontal-relative:page;position:absolute;z-index:251704320" coordorigin="560,-825" coordsize="1840,2304">
                <v:rect id="_x0000_s1105" style="width:1840;height:2304;left:560;position:absolute;top:-825" filled="t" fillcolor="#efefef" stroked="f">
                  <v:fill type="solid"/>
                </v:rect>
                <v:shape id="_x0000_s1106" type="#_x0000_t75" style="width:300;height:300;left:560;position:absolute;top:-805" stroked="f">
                  <v:imagedata r:id="rId19" o:title=""/>
                </v:shape>
                <v:shape id="_x0000_s1107" type="#_x0000_t202" style="width:1840;height:2304;left:560;position:absolute;top:-825" filled="f" stroked="f">
                  <v:textbox inset="0,0,0,0">
                    <w:txbxContent>
                      <w:p>
                        <w:pPr>
                          <w:spacing w:before="0" w:line="240" w:lineRule="auto"/>
                          <w:rPr>
                            <w:sz w:val="16"/>
                          </w:rPr>
                        </w:pPr>
                      </w:p>
                      <w:p>
                        <w:pPr>
                          <w:spacing w:before="30" w:line="240" w:lineRule="auto"/>
                          <w:rPr>
                            <w:sz w:val="16"/>
                          </w:rPr>
                        </w:pPr>
                      </w:p>
                      <w:p>
                        <w:pPr>
                          <w:spacing w:before="0" w:line="264" w:lineRule="auto"/>
                          <w:ind w:left="0" w:right="116" w:firstLine="0"/>
                          <w:jc w:val="left"/>
                          <w:rPr>
                            <w:sz w:val="16"/>
                          </w:rPr>
                        </w:pPr>
                        <w:r>
                          <w:rPr>
                            <w:sz w:val="16"/>
                          </w:rPr>
                          <w:t xml:space="preserve">Sono investimenti sostenibili con un obiettivo ambientale che </w:t>
                        </w:r>
                        <w:r>
                          <w:rPr>
                            <w:b/>
                            <w:sz w:val="16"/>
                          </w:rPr>
                          <w:t xml:space="preserve">non tengono conto dei criteri </w:t>
                        </w:r>
                        <w:r>
                          <w:rPr>
                            <w:sz w:val="16"/>
                          </w:rPr>
                          <w:t>relativi alle attività economiche sostenibili dal punto di vista ambientale previsti dalla Tassonomia dell’UE.</w:t>
                        </w:r>
                      </w:p>
                    </w:txbxContent>
                  </v:textbox>
                </v:shape>
              </v:group>
            </w:pict>
          </mc:Fallback>
        </mc:AlternateContent>
      </w:r>
      <w:r>
        <w:rPr>
          <w:sz w:val="16"/>
        </w:rPr>
        <w:t>Il prodotto finanziario non prevede un’allocazione minima a favore di attività economiche sostenibili che contribuiscano a un obiettivo ambientale. Tuttavia, la quota complessiva degli investimenti sostenibili dal punto di vista ambientale e sociale sarà pari ad almeno il 10%.</w:t>
      </w:r>
    </w:p>
    <w:p>
      <w:pPr>
        <w:pStyle w:val="BodyText"/>
        <w:rPr>
          <w:sz w:val="20"/>
        </w:rPr>
      </w:pPr>
    </w:p>
    <w:p>
      <w:pPr>
        <w:pStyle w:val="BodyText"/>
        <w:rPr>
          <w:sz w:val="20"/>
        </w:rPr>
      </w:pPr>
    </w:p>
    <w:p>
      <w:pPr>
        <w:pStyle w:val="BodyText"/>
        <w:rPr>
          <w:sz w:val="20"/>
        </w:rPr>
      </w:pPr>
    </w:p>
    <w:p>
      <w:pPr>
        <w:pStyle w:val="BodyText"/>
        <w:spacing w:before="72"/>
        <w:rPr>
          <w:sz w:val="20"/>
        </w:rPr>
      </w:pPr>
      <w:r>
        <w:rPr>
          <w:sz w:val="20"/>
        </w:rPr>
        <w:drawing>
          <wp:anchor distT="0" distB="0" distL="0" distR="0" simplePos="0" relativeHeight="251760640" behindDoc="1" locked="0" layoutInCell="1" allowOverlap="1">
            <wp:simplePos x="0" y="0"/>
            <wp:positionH relativeFrom="page">
              <wp:posOffset>1625600</wp:posOffset>
            </wp:positionH>
            <wp:positionV relativeFrom="paragraph">
              <wp:posOffset>207031</wp:posOffset>
            </wp:positionV>
            <wp:extent cx="191833" cy="191833"/>
            <wp:effectExtent l="0" t="0" r="0" b="0"/>
            <wp:wrapTopAndBottom/>
            <wp:docPr id="95" name="Image 95"/>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xmlns:r="http://schemas.openxmlformats.org/officeDocument/2006/relationships" r:embed="rId20" cstate="print"/>
                    <a:stretch>
                      <a:fillRect/>
                    </a:stretch>
                  </pic:blipFill>
                  <pic:spPr>
                    <a:xfrm>
                      <a:off x="0" y="0"/>
                      <a:ext cx="191833" cy="191833"/>
                    </a:xfrm>
                    <a:prstGeom prst="rect">
                      <a:avLst/>
                    </a:prstGeom>
                  </pic:spPr>
                </pic:pic>
              </a:graphicData>
            </a:graphic>
          </wp:anchor>
        </w:drawing>
      </w:r>
      <w:r>
        <w:rPr>
          <w:sz w:val="20"/>
        </w:rPr>
        <mc:AlternateContent>
          <mc:Choice Requires="wps">
            <w:drawing>
              <wp:anchor distT="0" distB="0" distL="0" distR="0" simplePos="0" relativeHeight="251761664" behindDoc="1" locked="0" layoutInCell="1" allowOverlap="1">
                <wp:simplePos x="0" y="0"/>
                <wp:positionH relativeFrom="page">
                  <wp:posOffset>1943100</wp:posOffset>
                </wp:positionH>
                <wp:positionV relativeFrom="paragraph">
                  <wp:posOffset>219731</wp:posOffset>
                </wp:positionV>
                <wp:extent cx="5252720" cy="234950"/>
                <wp:effectExtent l="0" t="0" r="0" b="0"/>
                <wp:wrapTopAndBottom/>
                <wp:docPr id="96" name="Textbox 96"/>
                <wp:cNvGraphicFramePr/>
                <a:graphic xmlns:a="http://schemas.openxmlformats.org/drawingml/2006/main">
                  <a:graphicData uri="http://schemas.microsoft.com/office/word/2010/wordprocessingShape">
                    <wps:wsp xmlns:wps="http://schemas.microsoft.com/office/word/2010/wordprocessingShape">
                      <wps:cNvSpPr txBox="1"/>
                      <wps:spPr>
                        <a:xfrm>
                          <a:off x="0" y="0"/>
                          <a:ext cx="5252720" cy="234950"/>
                        </a:xfrm>
                        <a:prstGeom prst="rect">
                          <a:avLst/>
                        </a:prstGeom>
                        <a:solidFill>
                          <a:srgbClr val="EFEFEF"/>
                        </a:solidFill>
                      </wps:spPr>
                      <wps:txbx>
                        <w:txbxContent>
                          <w:p>
                            <w:pPr>
                              <w:pStyle w:val="BodyText"/>
                              <w:spacing w:line="201" w:lineRule="exact"/>
                            </w:pPr>
                            <w:r>
                              <w:rPr>
                                <w:sz w:val="16"/>
                              </w:rPr>
                              <w:t>Qual è la quota minima di investimenti socialmente sostenibili?</w:t>
                            </w:r>
                          </w:p>
                        </w:txbxContent>
                      </wps:txbx>
                      <wps:bodyPr wrap="square" lIns="0" tIns="0" rIns="0" bIns="0" rtlCol="0"/>
                    </wps:wsp>
                  </a:graphicData>
                </a:graphic>
              </wp:anchor>
            </w:drawing>
          </mc:Choice>
          <mc:Fallback>
            <w:pict>
              <v:shape id="_x0000_s1108" type="#_x0000_t202" style="width:413.6pt;height:18.5pt;margin-top:17.3pt;margin-left:153pt;mso-position-horizontal-relative:page;mso-wrap-distance-left:0;mso-wrap-distance-right:0;position:absolute;z-index:-251553792" filled="t" fillcolor="#efefef" stroked="f">
                <v:fill type="solid"/>
                <v:textbox inset="0,0,0,0">
                  <w:txbxContent>
                    <w:p>
                      <w:pPr>
                        <w:pStyle w:val="BodyText"/>
                        <w:spacing w:line="201" w:lineRule="exact"/>
                      </w:pPr>
                      <w:r>
                        <w:t>Qual è la quota minima di investimenti socialmente sostenibili?</w:t>
                      </w:r>
                    </w:p>
                  </w:txbxContent>
                </v:textbox>
                <w10:wrap type="topAndBottom"/>
              </v:shape>
            </w:pict>
          </mc:Fallback>
        </mc:AlternateContent>
      </w:r>
    </w:p>
    <w:p>
      <w:pPr>
        <w:pStyle w:val="BodyText"/>
        <w:spacing w:before="94"/>
      </w:pPr>
    </w:p>
    <w:p>
      <w:pPr>
        <w:pStyle w:val="BodyText"/>
        <w:spacing w:line="264" w:lineRule="auto"/>
        <w:ind w:left="2135" w:right="629"/>
      </w:pPr>
      <w:r>
        <w:rPr>
          <w:sz w:val="16"/>
        </w:rPr>
        <w:t>Il prodotto finanziario non prevede un’allocazione minima a favore di attività economiche sostenibili che contribuiscano a un obiettivo sociale. Tuttavia, la quota complessiva degli investimenti sostenibili dal punto di vista ambientale e sociale sarà pari ad almeno il 10%.</w:t>
      </w:r>
    </w:p>
    <w:p>
      <w:pPr>
        <w:pStyle w:val="BodyText"/>
        <w:spacing w:before="3"/>
      </w:pPr>
      <w:r>
        <w:drawing>
          <wp:anchor distT="0" distB="0" distL="0" distR="0" simplePos="0" relativeHeight="251763712" behindDoc="1" locked="0" layoutInCell="1" allowOverlap="1">
            <wp:simplePos x="0" y="0"/>
            <wp:positionH relativeFrom="page">
              <wp:posOffset>1651000</wp:posOffset>
            </wp:positionH>
            <wp:positionV relativeFrom="paragraph">
              <wp:posOffset>148574</wp:posOffset>
            </wp:positionV>
            <wp:extent cx="191833" cy="191833"/>
            <wp:effectExtent l="0" t="0" r="0" b="0"/>
            <wp:wrapTopAndBottom/>
            <wp:docPr id="97" name="Image 97"/>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xmlns:r="http://schemas.openxmlformats.org/officeDocument/2006/relationships" r:embed="rId21" cstate="print"/>
                    <a:stretch>
                      <a:fillRect/>
                    </a:stretch>
                  </pic:blipFill>
                  <pic:spPr>
                    <a:xfrm>
                      <a:off x="0" y="0"/>
                      <a:ext cx="191833" cy="191833"/>
                    </a:xfrm>
                    <a:prstGeom prst="rect">
                      <a:avLst/>
                    </a:prstGeom>
                  </pic:spPr>
                </pic:pic>
              </a:graphicData>
            </a:graphic>
          </wp:anchor>
        </w:drawing>
      </w:r>
      <w:r>
        <mc:AlternateContent>
          <mc:Choice Requires="wps">
            <w:drawing>
              <wp:anchor distT="0" distB="0" distL="0" distR="0" simplePos="0" relativeHeight="251764736" behindDoc="1" locked="0" layoutInCell="1" allowOverlap="1">
                <wp:simplePos x="0" y="0"/>
                <wp:positionH relativeFrom="page">
                  <wp:posOffset>1943100</wp:posOffset>
                </wp:positionH>
                <wp:positionV relativeFrom="paragraph">
                  <wp:posOffset>148574</wp:posOffset>
                </wp:positionV>
                <wp:extent cx="5252720" cy="307340"/>
                <wp:effectExtent l="0" t="0" r="0" b="0"/>
                <wp:wrapTopAndBottom/>
                <wp:docPr id="98" name="Textbox 98"/>
                <wp:cNvGraphicFramePr/>
                <a:graphic xmlns:a="http://schemas.openxmlformats.org/drawingml/2006/main">
                  <a:graphicData uri="http://schemas.microsoft.com/office/word/2010/wordprocessingShape">
                    <wps:wsp xmlns:wps="http://schemas.microsoft.com/office/word/2010/wordprocessingShape">
                      <wps:cNvSpPr txBox="1"/>
                      <wps:spPr>
                        <a:xfrm>
                          <a:off x="0" y="0"/>
                          <a:ext cx="5252720" cy="307340"/>
                        </a:xfrm>
                        <a:prstGeom prst="rect">
                          <a:avLst/>
                        </a:prstGeom>
                        <a:solidFill>
                          <a:srgbClr val="EFEFEF"/>
                        </a:solidFill>
                      </wps:spPr>
                      <wps:txbx>
                        <w:txbxContent>
                          <w:p>
                            <w:pPr>
                              <w:pStyle w:val="BodyText"/>
                              <w:spacing w:line="264" w:lineRule="auto"/>
                              <w:ind w:right="604"/>
                            </w:pPr>
                            <w:r>
                              <w:rPr>
                                <w:sz w:val="16"/>
                              </w:rPr>
                              <w:t>Quali investimenti sono inclusi nella voce “#2 Altro”, qual è il loro scopo e sono previste garanzie ambientali o sociali minime?</w:t>
                            </w:r>
                          </w:p>
                        </w:txbxContent>
                      </wps:txbx>
                      <wps:bodyPr wrap="square" lIns="0" tIns="0" rIns="0" bIns="0" rtlCol="0"/>
                    </wps:wsp>
                  </a:graphicData>
                </a:graphic>
              </wp:anchor>
            </w:drawing>
          </mc:Choice>
          <mc:Fallback>
            <w:pict>
              <v:shape id="_x0000_s1109" type="#_x0000_t202" style="width:413.6pt;height:24.2pt;margin-top:11.7pt;margin-left:153pt;mso-position-horizontal-relative:page;mso-wrap-distance-left:0;mso-wrap-distance-right:0;position:absolute;z-index:-251550720" filled="t" fillcolor="#efefef" stroked="f">
                <v:fill type="solid"/>
                <v:textbox inset="0,0,0,0">
                  <w:txbxContent>
                    <w:p>
                      <w:pPr>
                        <w:pStyle w:val="BodyText"/>
                        <w:spacing w:line="264" w:lineRule="auto"/>
                        <w:ind w:right="604"/>
                      </w:pPr>
                      <w:r>
                        <w:t>Quali investimenti sono inclusi nella categoria “#2 Altro”, qual è il loro scopo e sono previste garanzie minime ambientali o sociali?</w:t>
                      </w:r>
                    </w:p>
                  </w:txbxContent>
                </v:textbox>
                <w10:wrap type="topAndBottom"/>
              </v:shape>
            </w:pict>
          </mc:Fallback>
        </mc:AlternateContent>
      </w:r>
    </w:p>
    <w:p>
      <w:pPr>
        <w:pStyle w:val="BodyText"/>
        <w:spacing w:before="94"/>
      </w:pPr>
    </w:p>
    <w:p>
      <w:pPr>
        <w:pStyle w:val="BodyText"/>
        <w:spacing w:line="264" w:lineRule="auto"/>
        <w:ind w:left="2135"/>
      </w:pPr>
      <w:r>
        <w:rPr>
          <w:sz w:val="16"/>
        </w:rPr>
        <w:t>Il prodotto finanziario promuove prevalentemente l’allocazione degli attivi in investimenti allineati alle caratteristiche ambientali e sociali (#1 Allineati alle caratteristiche E/S).</w:t>
      </w:r>
    </w:p>
    <w:p>
      <w:pPr>
        <w:pStyle w:val="BodyText"/>
        <w:spacing w:before="18"/>
      </w:pPr>
    </w:p>
    <w:p>
      <w:pPr>
        <w:pStyle w:val="BodyText"/>
        <w:spacing w:line="264" w:lineRule="auto"/>
        <w:ind w:left="2135" w:right="629"/>
      </w:pPr>
      <w:r>
        <w:drawing>
          <wp:anchor distT="0" distB="0" distL="0" distR="0" simplePos="0" relativeHeight="251705344" behindDoc="0" locked="0" layoutInCell="1" allowOverlap="1">
            <wp:simplePos x="0" y="0"/>
            <wp:positionH relativeFrom="page">
              <wp:posOffset>355600</wp:posOffset>
            </wp:positionH>
            <wp:positionV relativeFrom="paragraph">
              <wp:posOffset>1184702</wp:posOffset>
            </wp:positionV>
            <wp:extent cx="1155700" cy="406400"/>
            <wp:effectExtent l="0" t="0" r="0" b="0"/>
            <wp:wrapNone/>
            <wp:docPr id="99" name="Image 99"/>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xmlns:r="http://schemas.openxmlformats.org/officeDocument/2006/relationships" r:embed="rId22" cstate="print"/>
                    <a:stretch>
                      <a:fillRect/>
                    </a:stretch>
                  </pic:blipFill>
                  <pic:spPr>
                    <a:xfrm>
                      <a:off x="0" y="0"/>
                      <a:ext cx="1155700" cy="406400"/>
                    </a:xfrm>
                    <a:prstGeom prst="rect">
                      <a:avLst/>
                    </a:prstGeom>
                  </pic:spPr>
                </pic:pic>
              </a:graphicData>
            </a:graphic>
          </wp:anchor>
        </w:drawing>
      </w:r>
      <w:r>
        <mc:AlternateContent>
          <mc:Choice Requires="wps">
            <w:drawing>
              <wp:anchor distT="0" distB="0" distL="0" distR="0" simplePos="0" relativeHeight="251706368" behindDoc="0" locked="0" layoutInCell="1" allowOverlap="1">
                <wp:simplePos x="0" y="0"/>
                <wp:positionH relativeFrom="page">
                  <wp:posOffset>355600</wp:posOffset>
                </wp:positionH>
                <wp:positionV relativeFrom="paragraph">
                  <wp:posOffset>1641902</wp:posOffset>
                </wp:positionV>
                <wp:extent cx="1193800" cy="1078230"/>
                <wp:effectExtent l="0" t="0" r="0" b="0"/>
                <wp:wrapNone/>
                <wp:docPr id="100" name="Textbox 100"/>
                <wp:cNvGraphicFramePr/>
                <a:graphic xmlns:a="http://schemas.openxmlformats.org/drawingml/2006/main">
                  <a:graphicData uri="http://schemas.microsoft.com/office/word/2010/wordprocessingShape">
                    <wps:wsp xmlns:wps="http://schemas.microsoft.com/office/word/2010/wordprocessingShape">
                      <wps:cNvSpPr txBox="1"/>
                      <wps:spPr>
                        <a:xfrm>
                          <a:off x="0" y="0"/>
                          <a:ext cx="1193800" cy="1078230"/>
                        </a:xfrm>
                        <a:prstGeom prst="rect">
                          <a:avLst/>
                        </a:prstGeom>
                        <a:solidFill>
                          <a:srgbClr val="EFEFEF"/>
                        </a:solidFill>
                      </wps:spPr>
                      <wps:txbx>
                        <w:txbxContent>
                          <w:p>
                            <w:pPr>
                              <w:spacing w:before="0" w:line="264" w:lineRule="auto"/>
                              <w:ind w:left="0" w:right="197" w:firstLine="0"/>
                              <w:jc w:val="left"/>
                              <w:rPr>
                                <w:sz w:val="16"/>
                              </w:rPr>
                            </w:pPr>
                            <w:r>
                              <w:rPr>
                                <w:b/>
                                <w:sz w:val="15"/>
                              </w:rPr>
                              <w:t xml:space="preserve">I benchmark di riferimento </w:t>
                            </w:r>
                            <w:r>
                              <w:rPr>
                                <w:sz w:val="15"/>
                              </w:rPr>
                              <w:t>sono indici che misurano se il prodotto finanziario raggiunge le caratteristiche ambientali o sociali che promuove.</w:t>
                            </w:r>
                          </w:p>
                        </w:txbxContent>
                      </wps:txbx>
                      <wps:bodyPr wrap="square" lIns="0" tIns="0" rIns="0" bIns="0" rtlCol="0"/>
                    </wps:wsp>
                  </a:graphicData>
                </a:graphic>
              </wp:anchor>
            </w:drawing>
          </mc:Choice>
          <mc:Fallback>
            <w:pict>
              <v:shape id="_x0000_s1110" type="#_x0000_t202" style="width:94pt;height:84.9pt;margin-top:129.28pt;margin-left:28pt;mso-position-horizontal-relative:page;position:absolute;z-index:251707392" filled="t" fillcolor="#efefef" stroked="f">
                <v:fill type="solid"/>
                <v:textbox inset="0,0,0,0">
                  <w:txbxContent>
                    <w:p>
                      <w:pPr>
                        <w:spacing w:before="0" w:line="264" w:lineRule="auto"/>
                        <w:ind w:left="0" w:right="197" w:firstLine="0"/>
                        <w:jc w:val="left"/>
                        <w:rPr>
                          <w:sz w:val="16"/>
                        </w:rPr>
                      </w:pPr>
                      <w:r>
                        <w:rPr>
                          <w:b/>
                          <w:sz w:val="16"/>
                        </w:rPr>
                        <w:t xml:space="preserve">I benchmark di riferimento </w:t>
                      </w:r>
                      <w:r>
                        <w:rPr>
                          <w:sz w:val="16"/>
                        </w:rPr>
                        <w:t>sono indici che misurano se il prodotto finanziario soddisfa le caratteristiche ambientali o sociali che promuove.</w:t>
                      </w:r>
                    </w:p>
                  </w:txbxContent>
                </v:textbox>
              </v:shape>
            </w:pict>
          </mc:Fallback>
        </mc:AlternateContent>
      </w:r>
      <w:r>
        <w:rPr>
          <w:sz w:val="16"/>
        </w:rPr>
        <w:t>Gli investimenti inclusi nella voce “#2 Altro” possono comprendere attività liquide accessorie ai fini di una gestione efficiente del portafoglio, tra cui depositi garantiti e/o non garantiti e/o quote o azioni di altri OICVM o altri organismi di investimento collettivo che perseguono una strategia del mercato monetario o di liquidità, oppure strumenti finanziari derivati. Possono inoltre essere inclusi titoli che sono stati recentemente declassati dal fornitore di dati ESG di riferimento, ma che non saranno rimossi dall’Indice di Riferimento fino al successivo ribilanciamento dello stesso e che, pertanto, non potranno essere rimossi dal portafoglio fino a quel momento.</w:t>
      </w:r>
    </w:p>
    <w:p>
      <w:pPr>
        <w:pStyle w:val="BodyText"/>
        <w:spacing w:before="17"/>
        <w:rPr>
          <w:sz w:val="20"/>
        </w:rPr>
      </w:pPr>
      <w:r>
        <w:rPr>
          <w:sz w:val="20"/>
        </w:rPr>
        <mc:AlternateContent>
          <mc:Choice Requires="wps">
            <w:drawing>
              <wp:anchor distT="0" distB="0" distL="0" distR="0" simplePos="0" relativeHeight="251766784" behindDoc="1" locked="0" layoutInCell="1" allowOverlap="1">
                <wp:simplePos x="0" y="0"/>
                <wp:positionH relativeFrom="page">
                  <wp:posOffset>1625600</wp:posOffset>
                </wp:positionH>
                <wp:positionV relativeFrom="paragraph">
                  <wp:posOffset>172662</wp:posOffset>
                </wp:positionV>
                <wp:extent cx="5570220" cy="307340"/>
                <wp:effectExtent l="0" t="0" r="0" b="0"/>
                <wp:wrapTopAndBottom/>
                <wp:docPr id="101" name="Textbox 101"/>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Esiste un indice specifico designato come benchmark di riferimento per determinare se questo prodotto finanziario sia allineato alle caratteristiche ambientali e/o sociali che promuove?</w:t>
                            </w:r>
                          </w:p>
                        </w:txbxContent>
                      </wps:txbx>
                      <wps:bodyPr wrap="square" lIns="0" tIns="0" rIns="0" bIns="0" rtlCol="0"/>
                    </wps:wsp>
                  </a:graphicData>
                </a:graphic>
              </wp:anchor>
            </w:drawing>
          </mc:Choice>
          <mc:Fallback>
            <w:pict>
              <v:shape id="_x0000_s1111" type="#_x0000_t202" style="width:438.6pt;height:24.2pt;margin-top:13.6pt;margin-left:128pt;mso-position-horizontal-relative:page;mso-wrap-distance-left:0;mso-wrap-distance-right:0;position:absolute;z-index:-251548672" filled="t" fillcolor="#efefef" stroked="f">
                <v:fill type="solid"/>
                <v:textbox inset="0,0,0,0">
                  <w:txbxContent>
                    <w:p>
                      <w:pPr>
                        <w:pStyle w:val="BodyText"/>
                        <w:spacing w:line="264" w:lineRule="auto"/>
                        <w:ind w:right="629"/>
                      </w:pPr>
                      <w:r>
                        <w:t>È stato designato un indice specifico come benchmark di riferimento per determinare se questo prodotto finanziario sia allineato alle caratteristiche ambientali e/o sociali che promuove?</w:t>
                      </w:r>
                    </w:p>
                  </w:txbxContent>
                </v:textbox>
                <w10:wrap type="topAndBottom"/>
              </v:shape>
            </w:pict>
          </mc:Fallback>
        </mc:AlternateContent>
      </w:r>
    </w:p>
    <w:p>
      <w:pPr>
        <w:pStyle w:val="BodyText"/>
        <w:spacing w:before="81" w:line="232" w:lineRule="auto"/>
        <w:ind w:left="2127"/>
      </w:pPr>
      <w:r>
        <w:rPr>
          <w:sz w:val="16"/>
        </w:rPr>
        <w:t>Sì. Il prodotto finanziario ha designato l’indice S&amp;P 500 Equal Weight Scored &amp; Screened come benchmark di riferimento.</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37"/>
        <w:rPr>
          <w:sz w:val="20"/>
        </w:rPr>
      </w:pPr>
      <w:r>
        <w:rPr>
          <w:sz w:val="20"/>
        </w:rPr>
        <mc:AlternateContent>
          <mc:Choice Requires="wps">
            <w:drawing>
              <wp:anchor distT="0" distB="0" distL="0" distR="0" simplePos="0" relativeHeight="251768832" behindDoc="1" locked="0" layoutInCell="1" allowOverlap="1">
                <wp:simplePos x="0" y="0"/>
                <wp:positionH relativeFrom="page">
                  <wp:posOffset>1625600</wp:posOffset>
                </wp:positionH>
                <wp:positionV relativeFrom="paragraph">
                  <wp:posOffset>248647</wp:posOffset>
                </wp:positionV>
                <wp:extent cx="5570220" cy="307340"/>
                <wp:effectExtent l="0" t="0" r="0" b="0"/>
                <wp:wrapTopAndBottom/>
                <wp:docPr id="102" name="Textbox 102"/>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In che modo l’indice di riferimento è costantemente allineato a ciascuna delle caratteristiche ambientali o sociali promosse dal prodotto finanziario?</w:t>
                            </w:r>
                          </w:p>
                        </w:txbxContent>
                      </wps:txbx>
                      <wps:bodyPr wrap="square" lIns="0" tIns="0" rIns="0" bIns="0" rtlCol="0"/>
                    </wps:wsp>
                  </a:graphicData>
                </a:graphic>
              </wp:anchor>
            </w:drawing>
          </mc:Choice>
          <mc:Fallback>
            <w:pict>
              <v:shape id="_x0000_s1112" type="#_x0000_t202" style="width:438.6pt;height:24.2pt;margin-top:19.58pt;margin-left:128pt;mso-position-horizontal-relative:page;mso-wrap-distance-left:0;mso-wrap-distance-right:0;position:absolute;z-index:-251546624" filled="t" fillcolor="#efefef" stroked="f">
                <v:fill type="solid"/>
                <v:textbox inset="0,0,0,0">
                  <w:txbxContent>
                    <w:p>
                      <w:pPr>
                        <w:pStyle w:val="BodyText"/>
                        <w:spacing w:line="264" w:lineRule="auto"/>
                        <w:ind w:right="629"/>
                      </w:pPr>
                      <w:r>
                        <w:t>In che modo l’indice di riferimento viene mantenuto costantemente allineato a ciascuna delle caratteristiche ambientali o sociali promosse dal prodotto finanziario?</w:t>
                      </w:r>
                    </w:p>
                  </w:txbxContent>
                </v:textbox>
                <w10:wrap type="topAndBottom"/>
              </v:shape>
            </w:pict>
          </mc:Fallback>
        </mc:AlternateContent>
      </w:r>
    </w:p>
    <w:p>
      <w:pPr>
        <w:pStyle w:val="BodyText"/>
        <w:spacing w:before="94"/>
      </w:pPr>
    </w:p>
    <w:p>
      <w:pPr>
        <w:pStyle w:val="BodyText"/>
        <w:spacing w:line="264" w:lineRule="auto"/>
        <w:ind w:left="2135" w:right="629"/>
      </w:pPr>
      <w:r>
        <w:rPr>
          <w:sz w:val="16"/>
        </w:rPr>
        <w:t>L’indice di riferimento promuove caratteristiche ambientali e sociali escludendo dall’indice principale le società che non soddisfano i criteri ESG specifici sopra indicati, in occasione di ciascun ribilanciamento dell’indice di riferimento.</w:t>
      </w:r>
    </w:p>
    <w:p>
      <w:pPr>
        <w:pStyle w:val="BodyText"/>
        <w:spacing w:after="0" w:line="264" w:lineRule="auto"/>
        <w:sectPr>
          <w:pgSz w:w="11910" w:h="16840"/>
          <w:pgMar w:top="720" w:right="566" w:bottom="280" w:left="425" w:header="708" w:footer="708"/>
          <w:cols w:space="708"/>
        </w:sectPr>
      </w:pPr>
    </w:p>
    <w:p>
      <w:pPr>
        <w:spacing w:line="240" w:lineRule="auto"/>
        <w:ind w:left="2135" w:right="-44" w:firstLine="0"/>
        <w:rPr>
          <w:sz w:val="20"/>
        </w:rPr>
      </w:pPr>
      <w:r>
        <w:rPr>
          <w:sz w:val="20"/>
        </w:rPr>
        <mc:AlternateContent>
          <mc:Choice Requires="wps">
            <w:drawing>
              <wp:inline distT="0" distB="0" distL="0" distR="0">
                <wp:extent cx="5570220" cy="307340"/>
                <wp:effectExtent l="0" t="0" r="0" b="0"/>
                <wp:docPr id="103" name="Textbox 103"/>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307340"/>
                        </a:xfrm>
                        <a:prstGeom prst="rect">
                          <a:avLst/>
                        </a:prstGeom>
                        <a:solidFill>
                          <a:srgbClr val="EFEFEF"/>
                        </a:solidFill>
                      </wps:spPr>
                      <wps:txbx>
                        <w:txbxContent>
                          <w:p>
                            <w:pPr>
                              <w:pStyle w:val="BodyText"/>
                              <w:spacing w:line="264" w:lineRule="auto"/>
                              <w:ind w:right="629"/>
                            </w:pPr>
                            <w:r>
                              <w:rPr>
                                <w:sz w:val="16"/>
                              </w:rPr>
                              <w:t>In che modo viene garantito su base continua l’allineamento della strategia di investimento con la metodologia dell’indice?</w:t>
                            </w:r>
                          </w:p>
                        </w:txbxContent>
                      </wps:txbx>
                      <wps:bodyPr wrap="square" lIns="0" tIns="0" rIns="0" bIns="0" rtlCol="0"/>
                    </wps:wsp>
                  </a:graphicData>
                </a:graphic>
              </wp:inline>
            </w:drawing>
          </mc:Choice>
          <mc:Fallback>
            <w:pict>
              <v:shape id="_x0000_i1113" type="#_x0000_t202" style="width:438.6pt;height:24.2pt;mso-position-horizontal-relative:char;mso-position-vertical-relative:line" filled="t" fillcolor="#efefef" stroked="f">
                <v:fill type="solid"/>
                <v:textbox inset="0,0,0,0">
                  <w:txbxContent>
                    <w:p>
                      <w:pPr>
                        <w:pStyle w:val="BodyText"/>
                        <w:spacing w:line="264" w:lineRule="auto"/>
                        <w:ind w:right="629"/>
                      </w:pPr>
                      <w:r>
                        <w:t>In che modo viene garantito su base continua l’allineamento della strategia di investimento con la metodologia dell’indice?</w:t>
                      </w:r>
                    </w:p>
                  </w:txbxContent>
                </v:textbox>
                <w10:anchorlock/>
              </v:shape>
            </w:pict>
          </mc:Fallback>
        </mc:AlternateContent>
      </w:r>
    </w:p>
    <w:p>
      <w:pPr>
        <w:pStyle w:val="BodyText"/>
        <w:spacing w:before="55"/>
      </w:pPr>
    </w:p>
    <w:p>
      <w:pPr>
        <w:pStyle w:val="BodyText"/>
        <w:spacing w:line="264" w:lineRule="auto"/>
        <w:ind w:left="2135" w:right="629"/>
      </w:pPr>
      <w:r>
        <w:rPr>
          <w:sz w:val="16"/>
        </w:rPr>
        <w:t>Al fine di perseguire l’obiettivo di investimento, il prodotto finanziario adotterà una “Politica di Investimento Diretto”, il che significa che il prodotto finanziario mirerà a replicare o a seguire, al lordo delle commissioni e delle spese, la performance dell’Indice di Riferimento detenendo un portafoglio di titoli azionari che comprenda tutti, o un numero sostanziale, dei titoli compresi nell’Indice di Riferimento.</w:t>
      </w:r>
    </w:p>
    <w:p>
      <w:pPr>
        <w:pStyle w:val="BodyText"/>
        <w:spacing w:after="0" w:line="264" w:lineRule="auto"/>
        <w:sectPr>
          <w:pgSz w:w="11910" w:h="16840"/>
          <w:pgMar w:top="720" w:right="566" w:bottom="280" w:left="425" w:header="708" w:footer="708"/>
          <w:cols w:space="708"/>
        </w:sectPr>
      </w:pPr>
    </w:p>
    <w:p>
      <w:pPr>
        <w:spacing w:line="240" w:lineRule="auto"/>
        <w:ind w:left="2135" w:right="-44" w:firstLine="0"/>
        <w:rPr>
          <w:sz w:val="20"/>
        </w:rPr>
      </w:pPr>
      <w:r>
        <w:rPr>
          <w:sz w:val="20"/>
        </w:rPr>
        <mc:AlternateContent>
          <mc:Choice Requires="wps">
            <w:drawing>
              <wp:inline distT="0" distB="0" distL="0" distR="0">
                <wp:extent cx="5570220" cy="234950"/>
                <wp:effectExtent l="0" t="0" r="0" b="0"/>
                <wp:docPr id="104" name="Textbox 104"/>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In che modo l’indice designato differisce da un indice di mercato ampio di riferimento?</w:t>
                            </w:r>
                          </w:p>
                        </w:txbxContent>
                      </wps:txbx>
                      <wps:bodyPr wrap="square" lIns="0" tIns="0" rIns="0" bIns="0" rtlCol="0"/>
                    </wps:wsp>
                  </a:graphicData>
                </a:graphic>
              </wp:inline>
            </w:drawing>
          </mc:Choice>
          <mc:Fallback>
            <w:pict>
              <v:shape id="_x0000_i1114" type="#_x0000_t202" style="width:438.6pt;height:18.5pt;mso-position-horizontal-relative:char;mso-position-vertical-relative:line" filled="t" fillcolor="#efefef" stroked="f">
                <v:fill type="solid"/>
                <v:textbox inset="0,0,0,0">
                  <w:txbxContent>
                    <w:p>
                      <w:pPr>
                        <w:pStyle w:val="BodyText"/>
                        <w:spacing w:line="201" w:lineRule="exact"/>
                      </w:pPr>
                      <w:r>
                        <w:t>In che modo l’indice designato differisce da un indice di mercato ampio di riferimento?</w:t>
                      </w:r>
                    </w:p>
                  </w:txbxContent>
                </v:textbox>
                <w10:anchorlock/>
              </v:shape>
            </w:pict>
          </mc:Fallback>
        </mc:AlternateContent>
      </w:r>
    </w:p>
    <w:p>
      <w:pPr>
        <w:pStyle w:val="BodyText"/>
        <w:spacing w:before="41" w:line="264" w:lineRule="auto"/>
        <w:ind w:left="2135" w:right="629"/>
      </w:pPr>
      <w:r>
        <w:rPr>
          <w:sz w:val="16"/>
        </w:rPr>
        <w:t>L’Indice di Riferimento si basa sull’Indice Principale, che è un indice a ponderazione uguale che riflette la performance delle azioni ordinarie a grande capitalizzazione di società quotate in borsa attivamente negoziate su mercati azionari regolamentati degli Stati Uniti.</w:t>
      </w:r>
    </w:p>
    <w:p>
      <w:pPr>
        <w:pStyle w:val="BodyText"/>
        <w:spacing w:before="18"/>
      </w:pPr>
    </w:p>
    <w:p>
      <w:pPr>
        <w:pStyle w:val="BodyText"/>
        <w:spacing w:line="264" w:lineRule="auto"/>
        <w:ind w:left="2135" w:right="629"/>
      </w:pPr>
      <w:r>
        <w:rPr>
          <w:sz w:val="16"/>
        </w:rPr>
        <w:t>L’Indice di Riferimento esclude dall’Indice Principale (come definito di seguito) le società che non soddisfano specifici criteri ESG, tra cui, a titolo esemplificativo ma non esaustivo:</w:t>
      </w:r>
    </w:p>
    <w:p>
      <w:pPr>
        <w:pStyle w:val="BodyText"/>
        <w:spacing w:before="18"/>
      </w:pPr>
    </w:p>
    <w:p>
      <w:pPr>
        <w:pStyle w:val="ListParagraph"/>
        <w:numPr>
          <w:ilvl w:val="0"/>
          <w:numId w:val="1"/>
        </w:numPr>
        <w:tabs>
          <w:tab w:val="left" w:pos="2244"/>
        </w:tabs>
        <w:spacing w:before="0" w:after="0" w:line="264" w:lineRule="auto"/>
        <w:ind w:left="2135" w:right="802" w:firstLine="0"/>
        <w:jc w:val="left"/>
        <w:rPr>
          <w:sz w:val="18"/>
        </w:rPr>
      </w:pPr>
      <w:r>
        <w:rPr>
          <w:sz w:val="16"/>
        </w:rPr>
        <w:t>che non dispongono di un punteggio ESG di S&amp;P Global, o il cui punteggio ESG di S&amp;P Global rientra nel 25% peggiore dei punteggi ESG di ciascun gruppo settoriale GICS, come calcolato da Sustainable1 utilizzando il CSA (Corporate Sustainability Assessment) di una società, derivato da dati forniti dalla società stessa, da informazioni disponibili al pubblico o da una combinazione di entrambi;</w:t>
      </w:r>
    </w:p>
    <w:p>
      <w:pPr>
        <w:pStyle w:val="BodyText"/>
        <w:spacing w:line="264" w:lineRule="auto"/>
        <w:ind w:left="2135" w:right="629"/>
      </w:pPr>
      <w:r>
        <w:rPr>
          <w:sz w:val="16"/>
        </w:rPr>
        <w:t>•Sono classificate dagli S&amp;P Global Business Involvement Screens come società che superano determinate soglie relative ad attività controverse, tra cui, a titolo esemplificativo ma non esaustivo, tabacco, armi controverse e carbone termico; e/o</w:t>
      </w:r>
    </w:p>
    <w:p>
      <w:pPr>
        <w:pStyle w:val="BodyText"/>
        <w:spacing w:line="264" w:lineRule="auto"/>
        <w:ind w:left="2135" w:right="629"/>
      </w:pPr>
      <w:r>
        <w:rPr>
          <w:sz w:val="16"/>
        </w:rPr>
        <w:t>•Presentano un punteggio del Global Compact delle Nazioni Unite (UNGC) che comporta l’esclusione (ovvero società che non agiscono in conformità con i principi dell’UNGC e con gli standard, le convenzioni e i trattati ad essi associati, come determinato da Sustainalytics).</w:t>
      </w:r>
    </w:p>
    <w:p>
      <w:pPr>
        <w:pStyle w:val="BodyText"/>
        <w:spacing w:before="13"/>
      </w:pPr>
    </w:p>
    <w:p>
      <w:pPr>
        <w:pStyle w:val="BodyText"/>
        <w:spacing w:before="1" w:line="264" w:lineRule="auto"/>
        <w:ind w:left="2135" w:right="629"/>
      </w:pPr>
      <w:r>
        <w:rPr>
          <w:sz w:val="16"/>
        </w:rPr>
        <w:t>L’Indice di Riferimento utilizza i rating aziendali e le ricerche fornite da Sustainable1, una divisione aziendale di S&amp;P Global specializzata nella fornitura di analisi approfondite in materia di sostenibilità. In particolare, vengono utilizzate le seguenti due componenti:</w:t>
      </w:r>
    </w:p>
    <w:p>
      <w:pPr>
        <w:pStyle w:val="BodyText"/>
        <w:spacing w:before="17"/>
      </w:pPr>
    </w:p>
    <w:p>
      <w:pPr>
        <w:spacing w:before="1"/>
        <w:ind w:left="2135" w:right="0" w:firstLine="0"/>
        <w:jc w:val="left"/>
        <w:rPr>
          <w:i/>
          <w:sz w:val="18"/>
        </w:rPr>
      </w:pPr>
      <w:r>
        <w:rPr>
          <w:i/>
          <w:sz w:val="16"/>
        </w:rPr>
        <w:t>Punteggi ESG di S&amp;P Global</w:t>
      </w:r>
    </w:p>
    <w:p>
      <w:pPr>
        <w:pStyle w:val="BodyText"/>
        <w:spacing w:before="39"/>
        <w:rPr>
          <w:i/>
        </w:rPr>
      </w:pPr>
    </w:p>
    <w:p>
      <w:pPr>
        <w:pStyle w:val="BodyText"/>
        <w:spacing w:before="1" w:line="264" w:lineRule="auto"/>
        <w:ind w:left="2135" w:right="629"/>
      </w:pPr>
      <w:r>
        <w:rPr>
          <w:sz w:val="16"/>
        </w:rPr>
        <w:t>I punteggi ESG di S&amp;P Global forniscono ricerche e rating che misurano le prestazioni di un’azienda e la sua gestione dei rischi e delle opportunità ambientali, sociali e di governance. I punteggi ESG di S&amp;P Global forniscono un rating ESG complessivo dell’azienda. Per maggiori dettagli sui punteggi ESG di S&amp;P Global, si prega di fare riferimento a: Soluzioni Sustainable1: Punteggi ESG | S&amp;P Global (spglobal.com)</w:t>
      </w:r>
    </w:p>
    <w:p>
      <w:pPr>
        <w:pStyle w:val="BodyText"/>
        <w:spacing w:before="17"/>
      </w:pPr>
    </w:p>
    <w:p>
      <w:pPr>
        <w:spacing w:before="0"/>
        <w:ind w:left="2135" w:right="0" w:firstLine="0"/>
        <w:jc w:val="left"/>
        <w:rPr>
          <w:i/>
          <w:sz w:val="18"/>
        </w:rPr>
      </w:pPr>
      <w:r>
        <w:rPr>
          <w:i/>
          <w:sz w:val="16"/>
        </w:rPr>
        <w:t>S&amp;P Global Business Involvement Screens</w:t>
      </w:r>
    </w:p>
    <w:p>
      <w:pPr>
        <w:pStyle w:val="BodyText"/>
        <w:spacing w:before="40"/>
        <w:rPr>
          <w:i/>
        </w:rPr>
      </w:pPr>
    </w:p>
    <w:p>
      <w:pPr>
        <w:pStyle w:val="BodyText"/>
        <w:spacing w:line="264" w:lineRule="auto"/>
        <w:ind w:left="2135" w:right="629"/>
      </w:pPr>
      <w:r>
        <w:rPr>
          <w:sz w:val="16"/>
        </w:rPr>
        <w:t>Gli S&amp;P Global Business Involvement Screens mirano a consentire agli investitori di allineare i propri valori di investimento alla strategia di investimento, fornendo valutazioni dettagliate su aree di interesse comuni e individuando il livello di coinvolgimento. Per ulteriori dettagli sugli S&amp;P Global Business Involvement Screens, si prega di consultare: Sustainable1 Solutions: Business Involvement Screens | S&amp;P Global (spglobal.com)</w:t>
      </w:r>
    </w:p>
    <w:p>
      <w:pPr>
        <w:pStyle w:val="BodyText"/>
        <w:spacing w:before="17"/>
      </w:pPr>
    </w:p>
    <w:p>
      <w:pPr>
        <w:pStyle w:val="BodyText"/>
        <w:spacing w:line="264" w:lineRule="auto"/>
        <w:ind w:left="2135" w:right="629"/>
      </w:pPr>
      <w:r>
        <w:rPr>
          <w:sz w:val="16"/>
        </w:rPr>
        <w:t xml:space="preserve">Sustainalytics, una società del gruppo Morningstar, è una delle principali società indipendenti specializzate in ricerca, rating e analisi in materia di ESG e governance aziendale, che supporta gli investitori di tutto il mondo nello sviluppo e nell’attuazione di strategie di investimento responsabile. Le società non coperte da Sustainalytics non sono idonee all’inclusione nell’indice fino a quando non ricevono tale copertura. </w:t>
      </w:r>
      <w:r>
        <w:rPr>
          <w:sz w:val="16"/>
        </w:rPr>
        <w:t>Per ulteriori informazioni</w:t>
      </w:r>
      <w:r>
        <w:rPr>
          <w:sz w:val="16"/>
        </w:rPr>
        <w:t>, consultare il sito</w:t>
      </w:r>
      <w:hyperlink r:id="rId23">
        <w:r>
          <w:rPr>
            <w:sz w:val="16"/>
          </w:rPr>
          <w:t xml:space="preserve"> http://www.sustainalytics.com/</w:t>
        </w:r>
      </w:hyperlink>
      <w:r>
        <w:rPr>
          <w:sz w:val="16"/>
        </w:rPr>
        <w:t>.</w:t>
      </w:r>
    </w:p>
    <w:p>
      <w:pPr>
        <w:pStyle w:val="BodyText"/>
        <w:spacing w:before="67"/>
      </w:pPr>
    </w:p>
    <w:p>
      <w:pPr>
        <w:pStyle w:val="BodyText"/>
        <w:spacing w:line="264" w:lineRule="auto"/>
        <w:ind w:left="2135" w:right="839"/>
      </w:pPr>
      <w:r>
        <w:rPr>
          <w:sz w:val="16"/>
        </w:rPr>
        <w:t xml:space="preserve">Inoltre, l’Indice di Riferimento si avvale di RepRisk, una società leader nel campo della scienza dei dati, per il filtraggio, lo screening e l’analisi quotidiani degli incidenti di rischio ESG e delle attività controverse relative alle società, che potrebbero comportare ulteriori esclusioni di società dall’Indice di Riferimento, secondo quanto stabilito dall’Amministratore dell’Indice. </w:t>
      </w:r>
      <w:r>
        <w:rPr>
          <w:sz w:val="16"/>
        </w:rPr>
        <w:t>Per ulteriori informazioni</w:t>
      </w:r>
      <w:r>
        <w:rPr>
          <w:sz w:val="16"/>
        </w:rPr>
        <w:t>, consultare il sito</w:t>
      </w:r>
      <w:hyperlink r:id="rId24">
        <w:r>
          <w:rPr>
            <w:sz w:val="16"/>
          </w:rPr>
          <w:t xml:space="preserve"> http://www.reprisk.com/</w:t>
        </w:r>
      </w:hyperlink>
      <w:r>
        <w:rPr>
          <w:sz w:val="16"/>
        </w:rPr>
        <w:t>.</w:t>
      </w:r>
    </w:p>
    <w:p>
      <w:pPr>
        <w:pStyle w:val="BodyText"/>
        <w:spacing w:before="17"/>
      </w:pPr>
    </w:p>
    <w:p>
      <w:pPr>
        <w:pStyle w:val="BodyText"/>
        <w:spacing w:line="264" w:lineRule="auto"/>
        <w:ind w:left="2135" w:right="689"/>
      </w:pPr>
      <w:r>
        <w:rPr>
          <w:sz w:val="16"/>
        </w:rPr>
        <w:t>Una volta escluse le società costituenti, per ciascun gruppo settoriale GICS® vengono selezionate le società in ordine decrescente di S&amp;P Global ESG Score fino a raggiungere il 50% del numero di società costituenti dell’Indice principale all’interno del gruppo settoriale. Successivamente, per ciascun gruppo settoriale GICS®, vengono selezionati i componenti esistenti classificati tra il 50% e il 70% del numero di componenti di quel gruppo settoriale GICS®, al fine di avvicinarsi il più possibile all’obiettivo del 60% del numero di componenti dell’Indice Principale. Se il numero di società selezionate non supera l’obiettivo del 60%, è possibile aggiungere società non ancora selezionate dall’universo ammissibile, in ordine decrescente in base al punteggio S&amp;P Global ESG, per avvicinarsi il più possibile all’obiettivo del 60%. Questo processo termina quando l’aggiunta della successiva società ammissibile comporterebbe un ulteriore allontanamento del numero totale dei componenti del relativo gruppo settoriale GICS® dall’obiettivo del 60%.</w:t>
      </w:r>
    </w:p>
    <w:p>
      <w:pPr>
        <w:pStyle w:val="BodyText"/>
        <w:rPr>
          <w:sz w:val="20"/>
        </w:rPr>
      </w:pPr>
    </w:p>
    <w:p>
      <w:pPr>
        <w:pStyle w:val="BodyText"/>
        <w:spacing w:before="32"/>
        <w:rPr>
          <w:sz w:val="20"/>
        </w:rPr>
      </w:pPr>
      <w:r>
        <w:rPr>
          <w:sz w:val="20"/>
        </w:rPr>
        <mc:AlternateContent>
          <mc:Choice Requires="wps">
            <w:drawing>
              <wp:anchor distT="0" distB="0" distL="0" distR="0" simplePos="0" relativeHeight="251770880" behindDoc="1" locked="0" layoutInCell="1" allowOverlap="1">
                <wp:simplePos x="0" y="0"/>
                <wp:positionH relativeFrom="page">
                  <wp:posOffset>1625600</wp:posOffset>
                </wp:positionH>
                <wp:positionV relativeFrom="paragraph">
                  <wp:posOffset>181991</wp:posOffset>
                </wp:positionV>
                <wp:extent cx="5570220" cy="234950"/>
                <wp:effectExtent l="0" t="0" r="0" b="0"/>
                <wp:wrapTopAndBottom/>
                <wp:docPr id="105" name="Textbox 105"/>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Dove è possibile trovare la metodologia utilizzata per il calcolo dell’indice designato?</w:t>
                            </w:r>
                          </w:p>
                        </w:txbxContent>
                      </wps:txbx>
                      <wps:bodyPr wrap="square" lIns="0" tIns="0" rIns="0" bIns="0" rtlCol="0"/>
                    </wps:wsp>
                  </a:graphicData>
                </a:graphic>
              </wp:anchor>
            </w:drawing>
          </mc:Choice>
          <mc:Fallback>
            <w:pict>
              <v:shape id="_x0000_s1115" type="#_x0000_t202" style="width:438.6pt;height:18.5pt;margin-top:14.33pt;margin-left:128pt;mso-position-horizontal-relative:page;mso-wrap-distance-left:0;mso-wrap-distance-right:0;position:absolute;z-index:-251544576" filled="t" fillcolor="#efefef" stroked="f">
                <v:fill type="solid"/>
                <v:textbox inset="0,0,0,0">
                  <w:txbxContent>
                    <w:p>
                      <w:pPr>
                        <w:pStyle w:val="BodyText"/>
                        <w:spacing w:line="201" w:lineRule="exact"/>
                      </w:pPr>
                      <w:r>
                        <w:t>Dove è possibile trovare la metodologia utilizzata per il calcolo dell’indice designato?</w:t>
                      </w:r>
                    </w:p>
                  </w:txbxContent>
                </v:textbox>
                <w10:wrap type="topAndBottom"/>
              </v:shape>
            </w:pict>
          </mc:Fallback>
        </mc:AlternateContent>
      </w:r>
    </w:p>
    <w:p>
      <w:pPr>
        <w:pStyle w:val="BodyText"/>
        <w:spacing w:before="74"/>
      </w:pPr>
    </w:p>
    <w:p>
      <w:pPr>
        <w:pStyle w:val="BodyText"/>
        <w:spacing w:line="264" w:lineRule="auto"/>
        <w:ind w:left="2135" w:right="1016"/>
        <w:jc w:val="both"/>
      </w:pPr>
      <w:r>
        <w:rPr>
          <w:sz w:val="16"/>
        </w:rPr>
        <w:t>Ulteriori informazioni sull’indice di riferimento, sulla sua composizione, sul calcolo e sulle regole relative alla revisione periodica e al ribilanciamento, nonché sulla metodologia generale alla base degli indici S&amp;P, sono disponibili su</w:t>
      </w:r>
      <w:hyperlink r:id="rId25">
        <w:r>
          <w:rPr>
            <w:sz w:val="16"/>
          </w:rPr>
          <w:t xml:space="preserve"> www.spglobal.com</w:t>
        </w:r>
      </w:hyperlink>
      <w:r>
        <w:rPr>
          <w:sz w:val="16"/>
        </w:rPr>
        <w:t xml:space="preserve"> e</w:t>
      </w:r>
      <w:hyperlink r:id="rId26">
        <w:r>
          <w:rPr>
            <w:sz w:val="16"/>
          </w:rPr>
          <w:t xml:space="preserve"> https://www.spglobal.com/spdji/en/supplemental-data/europe/</w:t>
        </w:r>
      </w:hyperlink>
    </w:p>
    <w:p>
      <w:pPr>
        <w:pStyle w:val="BodyText"/>
        <w:spacing w:after="0" w:line="264" w:lineRule="auto"/>
        <w:jc w:val="both"/>
        <w:sectPr>
          <w:pgSz w:w="11910" w:h="16840"/>
          <w:pgMar w:top="720" w:right="566" w:bottom="280" w:left="425" w:header="708" w:footer="708"/>
          <w:cols w:space="708"/>
        </w:sectPr>
      </w:pPr>
    </w:p>
    <w:p>
      <w:pPr>
        <w:spacing w:line="240" w:lineRule="auto"/>
        <w:ind w:left="135" w:right="-44" w:firstLine="0"/>
        <w:jc w:val="left"/>
        <w:rPr>
          <w:position w:val="27"/>
          <w:sz w:val="20"/>
        </w:rPr>
      </w:pPr>
      <w:r>
        <w:rPr>
          <w:sz w:val="20"/>
        </w:rPr>
        <w:drawing>
          <wp:inline distT="0" distB="0" distL="0" distR="0">
            <wp:extent cx="1160395" cy="408050"/>
            <wp:effectExtent l="0" t="0" r="0" b="0"/>
            <wp:docPr id="106" name="Image 106"/>
            <wp:cNvGraphicFramePr/>
            <a:graphic xmlns:a="http://schemas.openxmlformats.org/drawingml/2006/main">
              <a:graphicData uri="http://schemas.openxmlformats.org/drawingml/2006/picture">
                <pic:pic xmlns:pic="http://schemas.openxmlformats.org/drawingml/2006/picture">
                  <pic:nvPicPr>
                    <pic:cNvPr id="106" name="Image 106"/>
                    <pic:cNvPicPr/>
                  </pic:nvPicPr>
                  <pic:blipFill>
                    <a:blip xmlns:r="http://schemas.openxmlformats.org/officeDocument/2006/relationships" r:embed="rId27" cstate="print"/>
                    <a:stretch>
                      <a:fillRect/>
                    </a:stretch>
                  </pic:blipFill>
                  <pic:spPr>
                    <a:xfrm>
                      <a:off x="0" y="0"/>
                      <a:ext cx="1160395" cy="408050"/>
                    </a:xfrm>
                    <a:prstGeom prst="rect">
                      <a:avLst/>
                    </a:prstGeom>
                  </pic:spPr>
                </pic:pic>
              </a:graphicData>
            </a:graphic>
          </wp:inline>
        </w:drawing>
      </w:r>
      <w:r>
        <w:rPr>
          <w:rFonts w:ascii="Times New Roman"/>
          <w:sz w:val="18"/>
        </w:rPr>
        <w:t xml:space="preserve"> </w:t>
      </w:r>
      <w:r>
        <w:rPr>
          <w:spacing w:val="122"/>
          <w:position w:val="27"/>
          <w:sz w:val="20"/>
        </w:rPr>
        <mc:AlternateContent>
          <mc:Choice Requires="wps">
            <w:drawing>
              <wp:inline distT="0" distB="0" distL="0" distR="0">
                <wp:extent cx="5570220" cy="234950"/>
                <wp:effectExtent l="0" t="0" r="0" b="0"/>
                <wp:docPr id="107" name="Textbox 107"/>
                <wp:cNvGraphicFramePr/>
                <a:graphic xmlns:a="http://schemas.openxmlformats.org/drawingml/2006/main">
                  <a:graphicData uri="http://schemas.microsoft.com/office/word/2010/wordprocessingShape">
                    <wps:wsp xmlns:wps="http://schemas.microsoft.com/office/word/2010/wordprocessingShape">
                      <wps:cNvSpPr txBox="1"/>
                      <wps:spPr>
                        <a:xfrm>
                          <a:off x="0" y="0"/>
                          <a:ext cx="5570220" cy="234950"/>
                        </a:xfrm>
                        <a:prstGeom prst="rect">
                          <a:avLst/>
                        </a:prstGeom>
                        <a:solidFill>
                          <a:srgbClr val="EFEFEF"/>
                        </a:solidFill>
                      </wps:spPr>
                      <wps:txbx>
                        <w:txbxContent>
                          <w:p>
                            <w:pPr>
                              <w:pStyle w:val="BodyText"/>
                              <w:spacing w:line="201" w:lineRule="exact"/>
                            </w:pPr>
                            <w:r>
                              <w:rPr>
                                <w:sz w:val="16"/>
                              </w:rPr>
                              <w:t>Dove posso trovare online ulteriori informazioni specifiche sul prodotto?</w:t>
                            </w:r>
                          </w:p>
                        </w:txbxContent>
                      </wps:txbx>
                      <wps:bodyPr wrap="square" lIns="0" tIns="0" rIns="0" bIns="0" rtlCol="0"/>
                    </wps:wsp>
                  </a:graphicData>
                </a:graphic>
              </wp:inline>
            </w:drawing>
          </mc:Choice>
          <mc:Fallback>
            <w:pict>
              <v:shape id="_x0000_i1116" type="#_x0000_t202" style="width:438.6pt;height:18.5pt;mso-position-horizontal-relative:char;mso-position-vertical-relative:line" filled="t" fillcolor="#efefef" stroked="f">
                <v:fill type="solid"/>
                <v:textbox inset="0,0,0,0">
                  <w:txbxContent>
                    <w:p>
                      <w:pPr>
                        <w:pStyle w:val="BodyText"/>
                        <w:spacing w:line="201" w:lineRule="exact"/>
                      </w:pPr>
                      <w:r>
                        <w:t>Dove posso trovare online ulteriori informazioni specifiche sui prodotti?</w:t>
                      </w:r>
                    </w:p>
                  </w:txbxContent>
                </v:textbox>
                <w10:anchorlock/>
              </v:shape>
            </w:pict>
          </mc:Fallback>
        </mc:AlternateContent>
      </w:r>
    </w:p>
    <w:p>
      <w:pPr>
        <w:pStyle w:val="BodyText"/>
        <w:spacing w:line="264" w:lineRule="auto"/>
        <w:ind w:left="2135" w:right="629"/>
      </w:pPr>
      <w:r>
        <w:rPr>
          <w:sz w:val="16"/>
        </w:rPr>
        <w:t>Ulteriori informazioni specifiche sui prodotti sono disponibili sul sito web:</w:t>
      </w:r>
      <w:hyperlink r:id="rId28">
        <w:r>
          <w:rPr>
            <w:sz w:val="16"/>
          </w:rPr>
          <w:t xml:space="preserve"> www.xtrackers.com</w:t>
        </w:r>
      </w:hyperlink>
      <w:r>
        <w:rPr>
          <w:sz w:val="16"/>
        </w:rPr>
        <w:t>, nonché sul sito web del proprio Paese.</w:t>
      </w:r>
    </w:p>
    <w:sectPr>
      <w:pgSz w:w="11910" w:h="16840"/>
      <w:pgMar w:top="720" w:right="566" w:bottom="280" w:left="425"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1"/>
    <w:family w:val="roman"/>
    <w:pitch w:val="variable"/>
  </w:font>
  <w:font w:name="Arial">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BDF03CB"/>
    <w:multiLevelType w:val="hybridMultilevel"/>
    <w:tmpl w:val="00000000"/>
    <w:lvl w:ilvl="0">
      <w:start w:val="0"/>
      <w:numFmt w:val="bullet"/>
      <w:lvlText w:val="•"/>
      <w:lvlJc w:val="left"/>
      <w:pPr>
        <w:ind w:left="2135" w:hanging="110"/>
      </w:pPr>
      <w:rPr>
        <w:rFonts w:ascii="Arial" w:eastAsia="Arial" w:hAnsi="Arial" w:cs="Arial" w:hint="default"/>
        <w:b w:val="0"/>
        <w:bCs w:val="0"/>
        <w:i w:val="0"/>
        <w:iCs w:val="0"/>
        <w:spacing w:val="0"/>
        <w:w w:val="99"/>
        <w:sz w:val="18"/>
        <w:szCs w:val="18"/>
        <w:lang w:val="en-US" w:eastAsia="en-US" w:bidi="ar-SA"/>
      </w:rPr>
    </w:lvl>
    <w:lvl w:ilvl="1">
      <w:start w:val="0"/>
      <w:numFmt w:val="bullet"/>
      <w:lvlText w:val="•"/>
      <w:lvlJc w:val="left"/>
      <w:pPr>
        <w:ind w:left="2635" w:hanging="114"/>
      </w:pPr>
      <w:rPr>
        <w:rFonts w:ascii="Arial" w:eastAsia="Arial" w:hAnsi="Arial" w:cs="Arial" w:hint="default"/>
        <w:b w:val="0"/>
        <w:bCs w:val="0"/>
        <w:i w:val="0"/>
        <w:iCs w:val="0"/>
        <w:spacing w:val="0"/>
        <w:w w:val="99"/>
        <w:sz w:val="18"/>
        <w:szCs w:val="18"/>
        <w:lang w:val="en-US" w:eastAsia="en-US" w:bidi="ar-SA"/>
      </w:rPr>
    </w:lvl>
    <w:lvl w:ilvl="2">
      <w:start w:val="0"/>
      <w:numFmt w:val="bullet"/>
      <w:lvlText w:val="•"/>
      <w:lvlJc w:val="left"/>
      <w:pPr>
        <w:ind w:left="3559" w:hanging="114"/>
      </w:pPr>
      <w:rPr>
        <w:rFonts w:hint="default"/>
        <w:lang w:val="en-US" w:eastAsia="en-US" w:bidi="ar-SA"/>
      </w:rPr>
    </w:lvl>
    <w:lvl w:ilvl="3">
      <w:start w:val="0"/>
      <w:numFmt w:val="bullet"/>
      <w:lvlText w:val="•"/>
      <w:lvlJc w:val="left"/>
      <w:pPr>
        <w:ind w:left="4479" w:hanging="114"/>
      </w:pPr>
      <w:rPr>
        <w:rFonts w:hint="default"/>
        <w:lang w:val="en-US" w:eastAsia="en-US" w:bidi="ar-SA"/>
      </w:rPr>
    </w:lvl>
    <w:lvl w:ilvl="4">
      <w:start w:val="0"/>
      <w:numFmt w:val="bullet"/>
      <w:lvlText w:val="•"/>
      <w:lvlJc w:val="left"/>
      <w:pPr>
        <w:ind w:left="5399" w:hanging="114"/>
      </w:pPr>
      <w:rPr>
        <w:rFonts w:hint="default"/>
        <w:lang w:val="en-US" w:eastAsia="en-US" w:bidi="ar-SA"/>
      </w:rPr>
    </w:lvl>
    <w:lvl w:ilvl="5">
      <w:start w:val="0"/>
      <w:numFmt w:val="bullet"/>
      <w:lvlText w:val="•"/>
      <w:lvlJc w:val="left"/>
      <w:pPr>
        <w:ind w:left="6318" w:hanging="114"/>
      </w:pPr>
      <w:rPr>
        <w:rFonts w:hint="default"/>
        <w:lang w:val="en-US" w:eastAsia="en-US" w:bidi="ar-SA"/>
      </w:rPr>
    </w:lvl>
    <w:lvl w:ilvl="6">
      <w:start w:val="0"/>
      <w:numFmt w:val="bullet"/>
      <w:lvlText w:val="•"/>
      <w:lvlJc w:val="left"/>
      <w:pPr>
        <w:ind w:left="7238" w:hanging="114"/>
      </w:pPr>
      <w:rPr>
        <w:rFonts w:hint="default"/>
        <w:lang w:val="en-US" w:eastAsia="en-US" w:bidi="ar-SA"/>
      </w:rPr>
    </w:lvl>
    <w:lvl w:ilvl="7">
      <w:start w:val="0"/>
      <w:numFmt w:val="bullet"/>
      <w:lvlText w:val="•"/>
      <w:lvlJc w:val="left"/>
      <w:pPr>
        <w:ind w:left="8158" w:hanging="114"/>
      </w:pPr>
      <w:rPr>
        <w:rFonts w:hint="default"/>
        <w:lang w:val="en-US" w:eastAsia="en-US" w:bidi="ar-SA"/>
      </w:rPr>
    </w:lvl>
    <w:lvl w:ilvl="8">
      <w:start w:val="0"/>
      <w:numFmt w:val="bullet"/>
      <w:lvlText w:val="•"/>
      <w:lvlJc w:val="left"/>
      <w:pPr>
        <w:ind w:left="9077" w:hanging="114"/>
      </w:pPr>
      <w:rPr>
        <w:rFonts w:hint="default"/>
        <w:lang w:val="en-US" w:eastAsia="en-US" w:bidi="ar-SA"/>
      </w:rPr>
    </w:lvl>
  </w:abstractNum>
  <w:abstractNum w:abstractNumId="1">
    <w:nsid w:val="409C84D2"/>
    <w:multiLevelType w:val="hybridMultilevel"/>
    <w:tmpl w:val="00000000"/>
    <w:lvl w:ilvl="0">
      <w:start w:val="0"/>
      <w:numFmt w:val="bullet"/>
      <w:lvlText w:val="-"/>
      <w:lvlJc w:val="left"/>
      <w:pPr>
        <w:ind w:left="0" w:hanging="97"/>
      </w:pPr>
      <w:rPr>
        <w:rFonts w:ascii="Arial" w:eastAsia="Arial" w:hAnsi="Arial" w:cs="Arial" w:hint="default"/>
        <w:spacing w:val="0"/>
        <w:w w:val="99"/>
        <w:lang w:val="en-US" w:eastAsia="en-US" w:bidi="ar-SA"/>
      </w:rPr>
    </w:lvl>
    <w:lvl w:ilvl="1">
      <w:start w:val="0"/>
      <w:numFmt w:val="bullet"/>
      <w:lvlText w:val="•"/>
      <w:lvlJc w:val="left"/>
      <w:pPr>
        <w:ind w:left="184" w:hanging="97"/>
      </w:pPr>
      <w:rPr>
        <w:rFonts w:hint="default"/>
        <w:lang w:val="en-US" w:eastAsia="en-US" w:bidi="ar-SA"/>
      </w:rPr>
    </w:lvl>
    <w:lvl w:ilvl="2">
      <w:start w:val="0"/>
      <w:numFmt w:val="bullet"/>
      <w:lvlText w:val="•"/>
      <w:lvlJc w:val="left"/>
      <w:pPr>
        <w:ind w:left="368" w:hanging="97"/>
      </w:pPr>
      <w:rPr>
        <w:rFonts w:hint="default"/>
        <w:lang w:val="en-US" w:eastAsia="en-US" w:bidi="ar-SA"/>
      </w:rPr>
    </w:lvl>
    <w:lvl w:ilvl="3">
      <w:start w:val="0"/>
      <w:numFmt w:val="bullet"/>
      <w:lvlText w:val="•"/>
      <w:lvlJc w:val="left"/>
      <w:pPr>
        <w:ind w:left="552" w:hanging="97"/>
      </w:pPr>
      <w:rPr>
        <w:rFonts w:hint="default"/>
        <w:lang w:val="en-US" w:eastAsia="en-US" w:bidi="ar-SA"/>
      </w:rPr>
    </w:lvl>
    <w:lvl w:ilvl="4">
      <w:start w:val="0"/>
      <w:numFmt w:val="bullet"/>
      <w:lvlText w:val="•"/>
      <w:lvlJc w:val="left"/>
      <w:pPr>
        <w:ind w:left="736" w:hanging="97"/>
      </w:pPr>
      <w:rPr>
        <w:rFonts w:hint="default"/>
        <w:lang w:val="en-US" w:eastAsia="en-US" w:bidi="ar-SA"/>
      </w:rPr>
    </w:lvl>
    <w:lvl w:ilvl="5">
      <w:start w:val="0"/>
      <w:numFmt w:val="bullet"/>
      <w:lvlText w:val="•"/>
      <w:lvlJc w:val="left"/>
      <w:pPr>
        <w:ind w:left="920" w:hanging="97"/>
      </w:pPr>
      <w:rPr>
        <w:rFonts w:hint="default"/>
        <w:lang w:val="en-US" w:eastAsia="en-US" w:bidi="ar-SA"/>
      </w:rPr>
    </w:lvl>
    <w:lvl w:ilvl="6">
      <w:start w:val="0"/>
      <w:numFmt w:val="bullet"/>
      <w:lvlText w:val="•"/>
      <w:lvlJc w:val="left"/>
      <w:pPr>
        <w:ind w:left="1104" w:hanging="97"/>
      </w:pPr>
      <w:rPr>
        <w:rFonts w:hint="default"/>
        <w:lang w:val="en-US" w:eastAsia="en-US" w:bidi="ar-SA"/>
      </w:rPr>
    </w:lvl>
    <w:lvl w:ilvl="7">
      <w:start w:val="0"/>
      <w:numFmt w:val="bullet"/>
      <w:lvlText w:val="•"/>
      <w:lvlJc w:val="left"/>
      <w:pPr>
        <w:ind w:left="1288" w:hanging="97"/>
      </w:pPr>
      <w:rPr>
        <w:rFonts w:hint="default"/>
        <w:lang w:val="en-US" w:eastAsia="en-US" w:bidi="ar-SA"/>
      </w:rPr>
    </w:lvl>
    <w:lvl w:ilvl="8">
      <w:start w:val="0"/>
      <w:numFmt w:val="bullet"/>
      <w:lvlText w:val="•"/>
      <w:lvlJc w:val="left"/>
      <w:pPr>
        <w:ind w:left="1472" w:hanging="97"/>
      </w:pPr>
      <w:rPr>
        <w:rFonts w:hint="default"/>
        <w:lang w:val="en-US" w:eastAsia="en-US" w:bidi="ar-SA"/>
      </w:rPr>
    </w:lvl>
  </w:abstractNum>
  <w:abstractNum w:abstractNumId="2">
    <w:nsid w:val="471B7BBE"/>
    <w:multiLevelType w:val="hybridMultilevel"/>
    <w:tmpl w:val="00000000"/>
    <w:lvl w:ilvl="0">
      <w:start w:val="0"/>
      <w:numFmt w:val="bullet"/>
      <w:lvlText w:val="-"/>
      <w:lvlJc w:val="left"/>
      <w:pPr>
        <w:ind w:left="120" w:hanging="107"/>
      </w:pPr>
      <w:rPr>
        <w:rFonts w:ascii="Arial" w:eastAsia="Arial" w:hAnsi="Arial" w:cs="Arial" w:hint="default"/>
        <w:b w:val="0"/>
        <w:bCs w:val="0"/>
        <w:i w:val="0"/>
        <w:iCs w:val="0"/>
        <w:spacing w:val="0"/>
        <w:w w:val="99"/>
        <w:sz w:val="18"/>
        <w:szCs w:val="18"/>
        <w:lang w:val="en-US" w:eastAsia="en-US" w:bidi="ar-SA"/>
      </w:rPr>
    </w:lvl>
    <w:lvl w:ilvl="1">
      <w:start w:val="0"/>
      <w:numFmt w:val="bullet"/>
      <w:lvlText w:val="•"/>
      <w:lvlJc w:val="left"/>
      <w:pPr>
        <w:ind w:left="985" w:hanging="107"/>
      </w:pPr>
      <w:rPr>
        <w:rFonts w:hint="default"/>
        <w:lang w:val="en-US" w:eastAsia="en-US" w:bidi="ar-SA"/>
      </w:rPr>
    </w:lvl>
    <w:lvl w:ilvl="2">
      <w:start w:val="0"/>
      <w:numFmt w:val="bullet"/>
      <w:lvlText w:val="•"/>
      <w:lvlJc w:val="left"/>
      <w:pPr>
        <w:ind w:left="1850" w:hanging="107"/>
      </w:pPr>
      <w:rPr>
        <w:rFonts w:hint="default"/>
        <w:lang w:val="en-US" w:eastAsia="en-US" w:bidi="ar-SA"/>
      </w:rPr>
    </w:lvl>
    <w:lvl w:ilvl="3">
      <w:start w:val="0"/>
      <w:numFmt w:val="bullet"/>
      <w:lvlText w:val="•"/>
      <w:lvlJc w:val="left"/>
      <w:pPr>
        <w:ind w:left="2715" w:hanging="107"/>
      </w:pPr>
      <w:rPr>
        <w:rFonts w:hint="default"/>
        <w:lang w:val="en-US" w:eastAsia="en-US" w:bidi="ar-SA"/>
      </w:rPr>
    </w:lvl>
    <w:lvl w:ilvl="4">
      <w:start w:val="0"/>
      <w:numFmt w:val="bullet"/>
      <w:lvlText w:val="•"/>
      <w:lvlJc w:val="left"/>
      <w:pPr>
        <w:ind w:left="3580" w:hanging="107"/>
      </w:pPr>
      <w:rPr>
        <w:rFonts w:hint="default"/>
        <w:lang w:val="en-US" w:eastAsia="en-US" w:bidi="ar-SA"/>
      </w:rPr>
    </w:lvl>
    <w:lvl w:ilvl="5">
      <w:start w:val="0"/>
      <w:numFmt w:val="bullet"/>
      <w:lvlText w:val="•"/>
      <w:lvlJc w:val="left"/>
      <w:pPr>
        <w:ind w:left="4446" w:hanging="107"/>
      </w:pPr>
      <w:rPr>
        <w:rFonts w:hint="default"/>
        <w:lang w:val="en-US" w:eastAsia="en-US" w:bidi="ar-SA"/>
      </w:rPr>
    </w:lvl>
    <w:lvl w:ilvl="6">
      <w:start w:val="0"/>
      <w:numFmt w:val="bullet"/>
      <w:lvlText w:val="•"/>
      <w:lvlJc w:val="left"/>
      <w:pPr>
        <w:ind w:left="5311" w:hanging="107"/>
      </w:pPr>
      <w:rPr>
        <w:rFonts w:hint="default"/>
        <w:lang w:val="en-US" w:eastAsia="en-US" w:bidi="ar-SA"/>
      </w:rPr>
    </w:lvl>
    <w:lvl w:ilvl="7">
      <w:start w:val="0"/>
      <w:numFmt w:val="bullet"/>
      <w:lvlText w:val="•"/>
      <w:lvlJc w:val="left"/>
      <w:pPr>
        <w:ind w:left="6176" w:hanging="107"/>
      </w:pPr>
      <w:rPr>
        <w:rFonts w:hint="default"/>
        <w:lang w:val="en-US" w:eastAsia="en-US" w:bidi="ar-SA"/>
      </w:rPr>
    </w:lvl>
    <w:lvl w:ilvl="8">
      <w:start w:val="0"/>
      <w:numFmt w:val="bullet"/>
      <w:lvlText w:val="•"/>
      <w:lvlJc w:val="left"/>
      <w:pPr>
        <w:ind w:left="7041" w:hanging="107"/>
      </w:pPr>
      <w:rPr>
        <w:rFonts w:hint="default"/>
        <w:lang w:val="en-US" w:eastAsia="en-US" w:bidi="ar-SA"/>
      </w:rPr>
    </w:lvl>
  </w:abstractNum>
  <w:abstractNum w:abstractNumId="3">
    <w:nsid w:val="5DD9D921"/>
    <w:multiLevelType w:val="hybridMultilevel"/>
    <w:tmpl w:val="00000000"/>
    <w:lvl w:ilvl="0">
      <w:start w:val="0"/>
      <w:numFmt w:val="bullet"/>
      <w:lvlText w:val="•"/>
      <w:lvlJc w:val="left"/>
      <w:pPr>
        <w:ind w:left="2135" w:hanging="110"/>
      </w:pPr>
      <w:rPr>
        <w:rFonts w:ascii="Arial" w:eastAsia="Arial" w:hAnsi="Arial" w:cs="Arial" w:hint="default"/>
        <w:b w:val="0"/>
        <w:bCs w:val="0"/>
        <w:i w:val="0"/>
        <w:iCs w:val="0"/>
        <w:spacing w:val="0"/>
        <w:w w:val="99"/>
        <w:sz w:val="18"/>
        <w:szCs w:val="18"/>
        <w:lang w:val="en-US" w:eastAsia="en-US" w:bidi="ar-SA"/>
      </w:rPr>
    </w:lvl>
    <w:lvl w:ilvl="1">
      <w:start w:val="0"/>
      <w:numFmt w:val="bullet"/>
      <w:lvlText w:val="•"/>
      <w:lvlJc w:val="left"/>
      <w:pPr>
        <w:ind w:left="3017" w:hanging="110"/>
      </w:pPr>
      <w:rPr>
        <w:rFonts w:hint="default"/>
        <w:lang w:val="en-US" w:eastAsia="en-US" w:bidi="ar-SA"/>
      </w:rPr>
    </w:lvl>
    <w:lvl w:ilvl="2">
      <w:start w:val="0"/>
      <w:numFmt w:val="bullet"/>
      <w:lvlText w:val="•"/>
      <w:lvlJc w:val="left"/>
      <w:pPr>
        <w:ind w:left="3895" w:hanging="110"/>
      </w:pPr>
      <w:rPr>
        <w:rFonts w:hint="default"/>
        <w:lang w:val="en-US" w:eastAsia="en-US" w:bidi="ar-SA"/>
      </w:rPr>
    </w:lvl>
    <w:lvl w:ilvl="3">
      <w:start w:val="0"/>
      <w:numFmt w:val="bullet"/>
      <w:lvlText w:val="•"/>
      <w:lvlJc w:val="left"/>
      <w:pPr>
        <w:ind w:left="4773" w:hanging="110"/>
      </w:pPr>
      <w:rPr>
        <w:rFonts w:hint="default"/>
        <w:lang w:val="en-US" w:eastAsia="en-US" w:bidi="ar-SA"/>
      </w:rPr>
    </w:lvl>
    <w:lvl w:ilvl="4">
      <w:start w:val="0"/>
      <w:numFmt w:val="bullet"/>
      <w:lvlText w:val="•"/>
      <w:lvlJc w:val="left"/>
      <w:pPr>
        <w:ind w:left="5650" w:hanging="110"/>
      </w:pPr>
      <w:rPr>
        <w:rFonts w:hint="default"/>
        <w:lang w:val="en-US" w:eastAsia="en-US" w:bidi="ar-SA"/>
      </w:rPr>
    </w:lvl>
    <w:lvl w:ilvl="5">
      <w:start w:val="0"/>
      <w:numFmt w:val="bullet"/>
      <w:lvlText w:val="•"/>
      <w:lvlJc w:val="left"/>
      <w:pPr>
        <w:ind w:left="6528" w:hanging="110"/>
      </w:pPr>
      <w:rPr>
        <w:rFonts w:hint="default"/>
        <w:lang w:val="en-US" w:eastAsia="en-US" w:bidi="ar-SA"/>
      </w:rPr>
    </w:lvl>
    <w:lvl w:ilvl="6">
      <w:start w:val="0"/>
      <w:numFmt w:val="bullet"/>
      <w:lvlText w:val="•"/>
      <w:lvlJc w:val="left"/>
      <w:pPr>
        <w:ind w:left="7406" w:hanging="110"/>
      </w:pPr>
      <w:rPr>
        <w:rFonts w:hint="default"/>
        <w:lang w:val="en-US" w:eastAsia="en-US" w:bidi="ar-SA"/>
      </w:rPr>
    </w:lvl>
    <w:lvl w:ilvl="7">
      <w:start w:val="0"/>
      <w:numFmt w:val="bullet"/>
      <w:lvlText w:val="•"/>
      <w:lvlJc w:val="left"/>
      <w:pPr>
        <w:ind w:left="8283" w:hanging="110"/>
      </w:pPr>
      <w:rPr>
        <w:rFonts w:hint="default"/>
        <w:lang w:val="en-US" w:eastAsia="en-US" w:bidi="ar-SA"/>
      </w:rPr>
    </w:lvl>
    <w:lvl w:ilvl="8">
      <w:start w:val="0"/>
      <w:numFmt w:val="bullet"/>
      <w:lvlText w:val="•"/>
      <w:lvlJc w:val="left"/>
      <w:pPr>
        <w:ind w:left="9161" w:hanging="110"/>
      </w:pPr>
      <w:rPr>
        <w:rFonts w:hint="default"/>
        <w:lang w:val="en-US" w:eastAsia="en-US" w:bidi="ar-S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en-US"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Arial" w:eastAsia="Arial" w:hAnsi="Arial" w:cs="Arial"/>
      <w:sz w:val="18"/>
      <w:szCs w:val="18"/>
      <w:lang w:val="en-US" w:eastAsia="en-US" w:bidi="ar-SA"/>
    </w:rPr>
  </w:style>
  <w:style w:type="paragraph" w:styleId="Title">
    <w:name w:val="Title"/>
    <w:basedOn w:val="Normal"/>
    <w:uiPriority w:val="1"/>
    <w:qFormat/>
    <w:pPr>
      <w:spacing w:before="78"/>
      <w:ind w:left="492" w:right="378"/>
      <w:jc w:val="center"/>
    </w:pPr>
    <w:rPr>
      <w:rFonts w:ascii="Arial" w:eastAsia="Arial" w:hAnsi="Arial" w:cs="Arial"/>
      <w:sz w:val="26"/>
      <w:szCs w:val="26"/>
      <w:lang w:val="en-US" w:eastAsia="en-US" w:bidi="ar-SA"/>
    </w:rPr>
  </w:style>
  <w:style w:type="paragraph" w:styleId="ListParagraph">
    <w:name w:val="List Paragraph"/>
    <w:basedOn w:val="Normal"/>
    <w:uiPriority w:val="1"/>
    <w:qFormat/>
    <w:pPr>
      <w:ind w:left="2135"/>
    </w:pPr>
    <w:rPr>
      <w:rFonts w:ascii="Arial" w:eastAsia="Arial" w:hAnsi="Arial" w:cs="Arial"/>
      <w:lang w:val="en-US" w:eastAsia="en-US" w:bidi="ar-SA"/>
    </w:rPr>
  </w:style>
  <w:style w:type="paragraph" w:customStyle="1" w:styleId="TableParagraph">
    <w:name w:val="Table Paragraph"/>
    <w:basedOn w:val="Normal"/>
    <w:uiPriority w:val="1"/>
    <w:qFormat/>
    <w:rPr>
      <w:rFonts w:ascii="Arial" w:eastAsia="Arial" w:hAnsi="Arial" w:cs="Aria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hyperlink" Target="http://www.sustainalytics.com/" TargetMode="External" /><Relationship Id="rId12" Type="http://schemas.openxmlformats.org/officeDocument/2006/relationships/hyperlink" Target="http://www.reprisk.com/" TargetMode="External" /><Relationship Id="rId13" Type="http://schemas.openxmlformats.org/officeDocument/2006/relationships/image" Target="media/image6.jpeg" /><Relationship Id="rId14" Type="http://schemas.openxmlformats.org/officeDocument/2006/relationships/image" Target="media/image7.jpeg" /><Relationship Id="rId15" Type="http://schemas.openxmlformats.org/officeDocument/2006/relationships/image" Target="media/image8.png" /><Relationship Id="rId16" Type="http://schemas.openxmlformats.org/officeDocument/2006/relationships/image" Target="media/image9.png" /><Relationship Id="rId17" Type="http://schemas.openxmlformats.org/officeDocument/2006/relationships/image" Target="media/image10.png" /><Relationship Id="rId18" Type="http://schemas.openxmlformats.org/officeDocument/2006/relationships/image" Target="media/image11.jpeg" /><Relationship Id="rId19" Type="http://schemas.openxmlformats.org/officeDocument/2006/relationships/image" Target="media/image12.jpeg" /><Relationship Id="rId2" Type="http://schemas.openxmlformats.org/officeDocument/2006/relationships/webSettings" Target="webSettings.xml" /><Relationship Id="rId20" Type="http://schemas.openxmlformats.org/officeDocument/2006/relationships/image" Target="media/image13.jpeg" /><Relationship Id="rId21" Type="http://schemas.openxmlformats.org/officeDocument/2006/relationships/image" Target="media/image14.jpeg" /><Relationship Id="rId22" Type="http://schemas.openxmlformats.org/officeDocument/2006/relationships/image" Target="media/image15.jpeg" /><Relationship Id="rId23" Type="http://schemas.openxmlformats.org/officeDocument/2006/relationships/hyperlink" Target="http://www.sustainalytics.com/" TargetMode="External" /><Relationship Id="rId24" Type="http://schemas.openxmlformats.org/officeDocument/2006/relationships/hyperlink" Target="http://www.reprisk.com/" TargetMode="External" /><Relationship Id="rId25" Type="http://schemas.openxmlformats.org/officeDocument/2006/relationships/hyperlink" Target="http://www.spglobal.com/" TargetMode="External" /><Relationship Id="rId26" Type="http://schemas.openxmlformats.org/officeDocument/2006/relationships/hyperlink" Target="https://www.spglobal.com/spdji/en/supplemental-data/europe/" TargetMode="External" /><Relationship Id="rId27" Type="http://schemas.openxmlformats.org/officeDocument/2006/relationships/image" Target="media/image16.jpeg" /><Relationship Id="rId28" Type="http://schemas.openxmlformats.org/officeDocument/2006/relationships/hyperlink" Target="http://www.xtrackers.com/" TargetMode="Externa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numbering" Target="numbering.xml" /><Relationship Id="rId31" Type="http://schemas.openxmlformats.org/officeDocument/2006/relationships/styles" Target="styles.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hyperlink" Target="http://www.sustainalytics.com/" TargetMode="External" /><Relationship Id="rId8" Type="http://schemas.openxmlformats.org/officeDocument/2006/relationships/hyperlink" Target="http://www.reprisk.com/" TargetMode="External" /><Relationship Id="rId9" Type="http://schemas.openxmlformats.org/officeDocument/2006/relationships/image" Target="media/image4.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docId:F6FBE71C3D46226D37DC0FF6149E8B6D</cp:keywords>
  <cp:revision>0</cp:revision>
  <dcterms:created xsi:type="dcterms:W3CDTF">2026-06-18T10:44:36Z</dcterms:created>
  <dcterms:modified xsi:type="dcterms:W3CDTF">2026-06-18T10:44:36Z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2025-01-10T00:00:00Z</vt:filetime>
  </property>
  <property fmtid="{D5CDD505-2E9C-101B-9397-08002B2CF9AE}" pid="3" name="Creator">
    <vt:lpwstr>Actuate</vt:lpwstr>
  </property>
  <property fmtid="{D5CDD505-2E9C-101B-9397-08002B2CF9AE}" pid="4" name="LastSaved">
    <vt:filetime>2026-06-18T00:00:00Z</vt:filetime>
  </property>
  <property fmtid="{D5CDD505-2E9C-101B-9397-08002B2CF9AE}" pid="5" name="Producer">
    <vt:lpwstr>Actuate XML to PDF Converter 1.0</vt:lpwstr>
  </property>
</Properties>
</file>